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bookmarkStart w:id="0" w:name="_GoBack"/>
      <w:bookmarkEnd w:id="0"/>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5D3BE1D6"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5-20T14:30:00Z">
            <w:dateFormat w:val="M/d/yyyy h:mm am/pm"/>
            <w:lid w:val="en-US"/>
            <w:storeMappedDataAs w:val="dateTime"/>
            <w:calendar w:val="gregorian"/>
          </w:date>
        </w:sdtPr>
        <w:sdtEndPr>
          <w:rPr>
            <w:rStyle w:val="DefaultParagraphFont"/>
            <w:i w:val="0"/>
            <w:iCs w:val="0"/>
          </w:rPr>
        </w:sdtEndPr>
        <w:sdtContent>
          <w:r w:rsidR="009E2B9A">
            <w:rPr>
              <w:rStyle w:val="SubtleEmphasis"/>
              <w:rFonts w:ascii="Calibri" w:hAnsi="Calibri"/>
              <w:color w:val="000000" w:themeColor="text1"/>
              <w:sz w:val="20"/>
              <w:szCs w:val="20"/>
            </w:rPr>
            <w:t>5/20/2015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22745D93" w14:textId="23BB404B" w:rsidR="00771B96" w:rsidRPr="002D7968" w:rsidRDefault="002D7968" w:rsidP="002D7968">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r w:rsidR="0076626F" w:rsidRPr="0076626F">
        <w:rPr>
          <w:sz w:val="20"/>
          <w:szCs w:val="20"/>
        </w:rPr>
        <w:t xml:space="preserve">Lisa Anderson, Balu Balasubramanyam, Cynthia Barton, Kimberly </w:t>
      </w:r>
      <w:proofErr w:type="spellStart"/>
      <w:r w:rsidR="0076626F" w:rsidRPr="0076626F">
        <w:rPr>
          <w:sz w:val="20"/>
          <w:szCs w:val="20"/>
        </w:rPr>
        <w:t>Bodine</w:t>
      </w:r>
      <w:proofErr w:type="spellEnd"/>
      <w:r w:rsidR="0076626F" w:rsidRPr="0076626F">
        <w:rPr>
          <w:sz w:val="20"/>
          <w:szCs w:val="20"/>
        </w:rPr>
        <w:t xml:space="preserve">, Zoe Bolton, </w:t>
      </w:r>
      <w:proofErr w:type="spellStart"/>
      <w:r w:rsidR="0076626F" w:rsidRPr="0076626F">
        <w:rPr>
          <w:sz w:val="20"/>
          <w:szCs w:val="20"/>
        </w:rPr>
        <w:t>Dharaneesh</w:t>
      </w:r>
      <w:proofErr w:type="spellEnd"/>
      <w:r w:rsidR="0076626F" w:rsidRPr="0076626F">
        <w:rPr>
          <w:sz w:val="20"/>
          <w:szCs w:val="20"/>
        </w:rPr>
        <w:t xml:space="preserve"> </w:t>
      </w:r>
      <w:proofErr w:type="spellStart"/>
      <w:r w:rsidR="0076626F" w:rsidRPr="0076626F">
        <w:rPr>
          <w:sz w:val="20"/>
          <w:szCs w:val="20"/>
        </w:rPr>
        <w:t>Bommireddypalli</w:t>
      </w:r>
      <w:proofErr w:type="spellEnd"/>
      <w:r w:rsidR="0076626F" w:rsidRPr="0076626F">
        <w:rPr>
          <w:sz w:val="20"/>
          <w:szCs w:val="20"/>
        </w:rPr>
        <w:t xml:space="preserve">, Howard </w:t>
      </w:r>
      <w:proofErr w:type="spellStart"/>
      <w:r w:rsidR="0076626F" w:rsidRPr="0076626F">
        <w:rPr>
          <w:sz w:val="20"/>
          <w:szCs w:val="20"/>
        </w:rPr>
        <w:t>Bregman</w:t>
      </w:r>
      <w:proofErr w:type="spellEnd"/>
      <w:r w:rsidR="0076626F" w:rsidRPr="0076626F">
        <w:rPr>
          <w:sz w:val="20"/>
          <w:szCs w:val="20"/>
        </w:rPr>
        <w:t xml:space="preserve">, Sasha </w:t>
      </w:r>
      <w:proofErr w:type="spellStart"/>
      <w:r w:rsidR="0076626F" w:rsidRPr="0076626F">
        <w:rPr>
          <w:sz w:val="20"/>
          <w:szCs w:val="20"/>
        </w:rPr>
        <w:t>Brellenthin</w:t>
      </w:r>
      <w:proofErr w:type="spellEnd"/>
      <w:r w:rsidR="0076626F" w:rsidRPr="0076626F">
        <w:rPr>
          <w:sz w:val="20"/>
          <w:szCs w:val="20"/>
        </w:rPr>
        <w:t xml:space="preserve">, </w:t>
      </w:r>
      <w:proofErr w:type="spellStart"/>
      <w:r w:rsidR="0076626F" w:rsidRPr="0076626F">
        <w:rPr>
          <w:sz w:val="20"/>
          <w:szCs w:val="20"/>
        </w:rPr>
        <w:t>Zahid</w:t>
      </w:r>
      <w:proofErr w:type="spellEnd"/>
      <w:r w:rsidR="0076626F" w:rsidRPr="0076626F">
        <w:rPr>
          <w:sz w:val="20"/>
          <w:szCs w:val="20"/>
        </w:rPr>
        <w:t xml:space="preserve"> Butt, Cathy Campbell, John Carroll, Jeffrey </w:t>
      </w:r>
      <w:proofErr w:type="spellStart"/>
      <w:r w:rsidR="0076626F" w:rsidRPr="0076626F">
        <w:rPr>
          <w:sz w:val="20"/>
          <w:szCs w:val="20"/>
        </w:rPr>
        <w:t>Clyman</w:t>
      </w:r>
      <w:proofErr w:type="spellEnd"/>
      <w:r w:rsidR="0076626F" w:rsidRPr="0076626F">
        <w:rPr>
          <w:sz w:val="20"/>
          <w:szCs w:val="20"/>
        </w:rPr>
        <w:t xml:space="preserve">, Nicole Cormier, Anne </w:t>
      </w:r>
      <w:proofErr w:type="spellStart"/>
      <w:r w:rsidR="0076626F" w:rsidRPr="0076626F">
        <w:rPr>
          <w:sz w:val="20"/>
          <w:szCs w:val="20"/>
        </w:rPr>
        <w:t>Coultas</w:t>
      </w:r>
      <w:proofErr w:type="spellEnd"/>
      <w:r w:rsidR="0076626F" w:rsidRPr="0076626F">
        <w:rPr>
          <w:sz w:val="20"/>
          <w:szCs w:val="20"/>
        </w:rPr>
        <w:t xml:space="preserve">, Dave </w:t>
      </w:r>
      <w:proofErr w:type="spellStart"/>
      <w:r w:rsidR="0076626F" w:rsidRPr="0076626F">
        <w:rPr>
          <w:sz w:val="20"/>
          <w:szCs w:val="20"/>
        </w:rPr>
        <w:t>Czulada</w:t>
      </w:r>
      <w:proofErr w:type="spellEnd"/>
      <w:r w:rsidR="0076626F" w:rsidRPr="0076626F">
        <w:rPr>
          <w:sz w:val="20"/>
          <w:szCs w:val="20"/>
        </w:rPr>
        <w:t xml:space="preserve">, Michelle </w:t>
      </w:r>
      <w:proofErr w:type="spellStart"/>
      <w:r w:rsidR="0076626F" w:rsidRPr="0076626F">
        <w:rPr>
          <w:sz w:val="20"/>
          <w:szCs w:val="20"/>
        </w:rPr>
        <w:t>Dardis</w:t>
      </w:r>
      <w:proofErr w:type="spellEnd"/>
      <w:r w:rsidR="0076626F" w:rsidRPr="0076626F">
        <w:rPr>
          <w:sz w:val="20"/>
          <w:szCs w:val="20"/>
        </w:rPr>
        <w:t xml:space="preserve">, Karen Dorsey, Jay Frails, Jeffrey </w:t>
      </w:r>
      <w:proofErr w:type="spellStart"/>
      <w:r w:rsidR="0076626F" w:rsidRPr="0076626F">
        <w:rPr>
          <w:sz w:val="20"/>
          <w:szCs w:val="20"/>
        </w:rPr>
        <w:t>Geppert</w:t>
      </w:r>
      <w:proofErr w:type="spellEnd"/>
      <w:r w:rsidR="0076626F" w:rsidRPr="0076626F">
        <w:rPr>
          <w:sz w:val="20"/>
          <w:szCs w:val="20"/>
        </w:rPr>
        <w:t xml:space="preserve">, </w:t>
      </w:r>
      <w:proofErr w:type="spellStart"/>
      <w:r w:rsidR="0076626F" w:rsidRPr="0076626F">
        <w:rPr>
          <w:sz w:val="20"/>
          <w:szCs w:val="20"/>
        </w:rPr>
        <w:t>Jyothi</w:t>
      </w:r>
      <w:proofErr w:type="spellEnd"/>
      <w:r w:rsidR="0076626F" w:rsidRPr="0076626F">
        <w:rPr>
          <w:sz w:val="20"/>
          <w:szCs w:val="20"/>
        </w:rPr>
        <w:t xml:space="preserve"> </w:t>
      </w:r>
      <w:proofErr w:type="spellStart"/>
      <w:r w:rsidR="0076626F" w:rsidRPr="0076626F">
        <w:rPr>
          <w:sz w:val="20"/>
          <w:szCs w:val="20"/>
        </w:rPr>
        <w:t>Golkonda</w:t>
      </w:r>
      <w:proofErr w:type="spellEnd"/>
      <w:r w:rsidR="0076626F" w:rsidRPr="0076626F">
        <w:rPr>
          <w:sz w:val="20"/>
          <w:szCs w:val="20"/>
        </w:rPr>
        <w:t xml:space="preserve">, Ben Hamlin, Sharon </w:t>
      </w:r>
      <w:proofErr w:type="spellStart"/>
      <w:r w:rsidR="0076626F" w:rsidRPr="0076626F">
        <w:rPr>
          <w:sz w:val="20"/>
          <w:szCs w:val="20"/>
        </w:rPr>
        <w:t>Hibay</w:t>
      </w:r>
      <w:proofErr w:type="spellEnd"/>
      <w:r w:rsidR="0076626F" w:rsidRPr="0076626F">
        <w:rPr>
          <w:sz w:val="20"/>
          <w:szCs w:val="20"/>
        </w:rPr>
        <w:t xml:space="preserve">, Michelle </w:t>
      </w:r>
      <w:proofErr w:type="spellStart"/>
      <w:r w:rsidR="0076626F" w:rsidRPr="0076626F">
        <w:rPr>
          <w:sz w:val="20"/>
          <w:szCs w:val="20"/>
        </w:rPr>
        <w:t>Hinterberg</w:t>
      </w:r>
      <w:proofErr w:type="spellEnd"/>
      <w:r w:rsidR="0076626F" w:rsidRPr="0076626F">
        <w:rPr>
          <w:sz w:val="20"/>
          <w:szCs w:val="20"/>
        </w:rPr>
        <w:t xml:space="preserve">, </w:t>
      </w:r>
      <w:proofErr w:type="spellStart"/>
      <w:r w:rsidR="0076626F" w:rsidRPr="0076626F">
        <w:rPr>
          <w:sz w:val="20"/>
          <w:szCs w:val="20"/>
        </w:rPr>
        <w:t>Yanyan</w:t>
      </w:r>
      <w:proofErr w:type="spellEnd"/>
      <w:r w:rsidR="0076626F" w:rsidRPr="0076626F">
        <w:rPr>
          <w:sz w:val="20"/>
          <w:szCs w:val="20"/>
        </w:rPr>
        <w:t xml:space="preserve"> Hu, Megan Keenan, Joseph </w:t>
      </w:r>
      <w:proofErr w:type="spellStart"/>
      <w:r w:rsidR="0076626F" w:rsidRPr="0076626F">
        <w:rPr>
          <w:sz w:val="20"/>
          <w:szCs w:val="20"/>
        </w:rPr>
        <w:t>Kunisch</w:t>
      </w:r>
      <w:proofErr w:type="spellEnd"/>
      <w:r w:rsidR="0076626F" w:rsidRPr="0076626F">
        <w:rPr>
          <w:sz w:val="20"/>
          <w:szCs w:val="20"/>
        </w:rPr>
        <w:t xml:space="preserve">, </w:t>
      </w:r>
      <w:proofErr w:type="spellStart"/>
      <w:r w:rsidR="0076626F" w:rsidRPr="0076626F">
        <w:rPr>
          <w:sz w:val="20"/>
          <w:szCs w:val="20"/>
        </w:rPr>
        <w:t>Rute</w:t>
      </w:r>
      <w:proofErr w:type="spellEnd"/>
      <w:r w:rsidR="0076626F" w:rsidRPr="0076626F">
        <w:rPr>
          <w:sz w:val="20"/>
          <w:szCs w:val="20"/>
        </w:rPr>
        <w:t xml:space="preserve"> Martins, Susan </w:t>
      </w:r>
      <w:proofErr w:type="spellStart"/>
      <w:r w:rsidR="0076626F" w:rsidRPr="0076626F">
        <w:rPr>
          <w:sz w:val="20"/>
          <w:szCs w:val="20"/>
        </w:rPr>
        <w:t>Mateja</w:t>
      </w:r>
      <w:proofErr w:type="spellEnd"/>
      <w:r w:rsidR="0076626F" w:rsidRPr="0076626F">
        <w:rPr>
          <w:sz w:val="20"/>
          <w:szCs w:val="20"/>
        </w:rPr>
        <w:t xml:space="preserve">, Christopher Moesel, David </w:t>
      </w:r>
      <w:proofErr w:type="spellStart"/>
      <w:r w:rsidR="0076626F" w:rsidRPr="0076626F">
        <w:rPr>
          <w:sz w:val="20"/>
          <w:szCs w:val="20"/>
        </w:rPr>
        <w:t>Nilasena</w:t>
      </w:r>
      <w:proofErr w:type="spellEnd"/>
      <w:r w:rsidR="0076626F" w:rsidRPr="0076626F">
        <w:rPr>
          <w:sz w:val="20"/>
          <w:szCs w:val="20"/>
        </w:rPr>
        <w:t xml:space="preserve">, Lauren Niles, Mallory Perez, Kala Ramesh, Stan </w:t>
      </w:r>
      <w:proofErr w:type="spellStart"/>
      <w:r w:rsidR="0076626F" w:rsidRPr="0076626F">
        <w:rPr>
          <w:sz w:val="20"/>
          <w:szCs w:val="20"/>
        </w:rPr>
        <w:t>Rankins</w:t>
      </w:r>
      <w:proofErr w:type="spellEnd"/>
      <w:r w:rsidR="0076626F" w:rsidRPr="0076626F">
        <w:rPr>
          <w:sz w:val="20"/>
          <w:szCs w:val="20"/>
        </w:rPr>
        <w:t xml:space="preserve">, Juliet </w:t>
      </w:r>
      <w:proofErr w:type="spellStart"/>
      <w:r w:rsidR="0076626F" w:rsidRPr="0076626F">
        <w:rPr>
          <w:sz w:val="20"/>
          <w:szCs w:val="20"/>
        </w:rPr>
        <w:t>Rubini</w:t>
      </w:r>
      <w:proofErr w:type="spellEnd"/>
      <w:r w:rsidR="0076626F" w:rsidRPr="0076626F">
        <w:rPr>
          <w:sz w:val="20"/>
          <w:szCs w:val="20"/>
        </w:rPr>
        <w:t xml:space="preserve">, Jessica </w:t>
      </w:r>
      <w:proofErr w:type="spellStart"/>
      <w:r w:rsidR="0076626F" w:rsidRPr="0076626F">
        <w:rPr>
          <w:sz w:val="20"/>
          <w:szCs w:val="20"/>
        </w:rPr>
        <w:t>Smail</w:t>
      </w:r>
      <w:proofErr w:type="spellEnd"/>
      <w:r w:rsidR="0076626F" w:rsidRPr="0076626F">
        <w:rPr>
          <w:sz w:val="20"/>
          <w:szCs w:val="20"/>
        </w:rPr>
        <w:t xml:space="preserve">, Anne Smith, </w:t>
      </w:r>
      <w:proofErr w:type="spellStart"/>
      <w:r w:rsidR="0076626F" w:rsidRPr="0076626F">
        <w:rPr>
          <w:sz w:val="20"/>
          <w:szCs w:val="20"/>
        </w:rPr>
        <w:t>Carolin</w:t>
      </w:r>
      <w:proofErr w:type="spellEnd"/>
      <w:r w:rsidR="0076626F" w:rsidRPr="0076626F">
        <w:rPr>
          <w:sz w:val="20"/>
          <w:szCs w:val="20"/>
        </w:rPr>
        <w:t xml:space="preserve"> Spice, Corinne </w:t>
      </w:r>
      <w:proofErr w:type="spellStart"/>
      <w:r w:rsidR="0076626F" w:rsidRPr="0076626F">
        <w:rPr>
          <w:sz w:val="20"/>
          <w:szCs w:val="20"/>
        </w:rPr>
        <w:t>Stroum</w:t>
      </w:r>
      <w:proofErr w:type="spellEnd"/>
      <w:r w:rsidR="0076626F" w:rsidRPr="0076626F">
        <w:rPr>
          <w:sz w:val="20"/>
          <w:szCs w:val="20"/>
        </w:rPr>
        <w:t xml:space="preserve">, </w:t>
      </w:r>
      <w:proofErr w:type="spellStart"/>
      <w:r w:rsidR="0076626F" w:rsidRPr="0076626F">
        <w:rPr>
          <w:sz w:val="20"/>
          <w:szCs w:val="20"/>
        </w:rPr>
        <w:t>Naresh</w:t>
      </w:r>
      <w:proofErr w:type="spellEnd"/>
      <w:r w:rsidR="0076626F" w:rsidRPr="0076626F">
        <w:rPr>
          <w:sz w:val="20"/>
          <w:szCs w:val="20"/>
        </w:rPr>
        <w:t xml:space="preserve"> </w:t>
      </w:r>
      <w:proofErr w:type="spellStart"/>
      <w:r w:rsidR="0076626F" w:rsidRPr="0076626F">
        <w:rPr>
          <w:sz w:val="20"/>
          <w:szCs w:val="20"/>
        </w:rPr>
        <w:t>Sundar</w:t>
      </w:r>
      <w:proofErr w:type="spellEnd"/>
      <w:r w:rsidR="0076626F" w:rsidRPr="0076626F">
        <w:rPr>
          <w:sz w:val="20"/>
          <w:szCs w:val="20"/>
        </w:rPr>
        <w:t xml:space="preserve"> </w:t>
      </w:r>
      <w:proofErr w:type="spellStart"/>
      <w:r w:rsidR="0076626F" w:rsidRPr="0076626F">
        <w:rPr>
          <w:sz w:val="20"/>
          <w:szCs w:val="20"/>
        </w:rPr>
        <w:t>Rajan</w:t>
      </w:r>
      <w:proofErr w:type="spellEnd"/>
      <w:r w:rsidR="0076626F" w:rsidRPr="0076626F">
        <w:rPr>
          <w:sz w:val="20"/>
          <w:szCs w:val="20"/>
        </w:rPr>
        <w:t xml:space="preserve">, Wallace Watson, Suzanne Webster, Sherry </w:t>
      </w:r>
      <w:proofErr w:type="spellStart"/>
      <w:r w:rsidR="0076626F" w:rsidRPr="0076626F">
        <w:rPr>
          <w:sz w:val="20"/>
          <w:szCs w:val="20"/>
        </w:rPr>
        <w:t>Wiedow</w:t>
      </w:r>
      <w:proofErr w:type="spellEnd"/>
      <w:r w:rsidR="0076626F" w:rsidRPr="0076626F">
        <w:rPr>
          <w:sz w:val="20"/>
          <w:szCs w:val="20"/>
        </w:rPr>
        <w:t xml:space="preserve">, Jenna Williams-Bader, Patrick </w:t>
      </w:r>
      <w:proofErr w:type="spellStart"/>
      <w:r w:rsidR="0076626F" w:rsidRPr="0076626F">
        <w:rPr>
          <w:sz w:val="20"/>
          <w:szCs w:val="20"/>
        </w:rPr>
        <w:t>Yamaura</w:t>
      </w:r>
      <w:proofErr w:type="spellEnd"/>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3546"/>
        <w:gridCol w:w="9180"/>
      </w:tblGrid>
      <w:tr w:rsidR="003338F7" w:rsidRPr="00DF7E73" w14:paraId="3FD43C7D" w14:textId="77777777" w:rsidTr="003338F7">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354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918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3338F7" w:rsidRPr="00DF7E73" w14:paraId="2C0049C8" w14:textId="77777777" w:rsidTr="003338F7">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3546" w:type="dxa"/>
          </w:tcPr>
          <w:p w14:paraId="1FCD8A44" w14:textId="7A0E0669" w:rsidR="00274EA7" w:rsidRPr="009F0A41" w:rsidRDefault="003C4CE6" w:rsidP="005178F1">
            <w:pPr>
              <w:spacing w:before="0" w:after="0"/>
              <w:ind w:left="0"/>
              <w:rPr>
                <w:color w:val="0000FF"/>
              </w:rPr>
            </w:pPr>
            <w:hyperlink r:id="rId13" w:history="1">
              <w:r w:rsidR="009F0A41" w:rsidRPr="009F0A41">
                <w:rPr>
                  <w:rStyle w:val="Hyperlink"/>
                  <w:rFonts w:asciiTheme="minorHAnsi" w:hAnsiTheme="minorHAnsi" w:cstheme="minorBidi"/>
                  <w:color w:val="0000FF"/>
                </w:rPr>
                <w:t>QDM-114</w:t>
              </w:r>
            </w:hyperlink>
            <w:r w:rsidR="009F0A41" w:rsidRPr="009F0A41">
              <w:rPr>
                <w:color w:val="0000FF"/>
              </w:rPr>
              <w:t>:</w:t>
            </w:r>
            <w:r w:rsidR="009F0A41">
              <w:rPr>
                <w:color w:val="0000FF"/>
              </w:rPr>
              <w:t xml:space="preserve"> </w:t>
            </w:r>
            <w:r w:rsidR="009F0A41" w:rsidRPr="009F0A41">
              <w:rPr>
                <w:rStyle w:val="Hyperlink"/>
                <w:rFonts w:ascii="Palatino" w:hAnsi="Palatino" w:cstheme="minorBidi"/>
                <w:i/>
                <w:color w:val="auto"/>
                <w:u w:val="none"/>
              </w:rPr>
              <w:t xml:space="preserve">Need the ability to support reference ranges for laboratory tests in </w:t>
            </w:r>
            <w:proofErr w:type="spellStart"/>
            <w:r w:rsidR="009F0A41" w:rsidRPr="009F0A41">
              <w:rPr>
                <w:rStyle w:val="Hyperlink"/>
                <w:rFonts w:ascii="Palatino" w:hAnsi="Palatino" w:cstheme="minorBidi"/>
                <w:i/>
                <w:color w:val="auto"/>
                <w:u w:val="none"/>
              </w:rPr>
              <w:t>eCQMs</w:t>
            </w:r>
            <w:proofErr w:type="spellEnd"/>
          </w:p>
        </w:tc>
        <w:tc>
          <w:tcPr>
            <w:tcW w:w="9180" w:type="dxa"/>
          </w:tcPr>
          <w:p w14:paraId="6C36024B" w14:textId="77777777" w:rsidR="009E0C83" w:rsidRDefault="003338F7" w:rsidP="003338F7">
            <w:pPr>
              <w:spacing w:before="0" w:after="0"/>
              <w:ind w:left="0"/>
            </w:pPr>
            <w:r>
              <w:t xml:space="preserve">Karen Dorsey began the discussion by providing an overview of the Core Clinical Data Elements (CCDE).  In short, the CCDE are “a set of data elements feasibly extracted from hospital electronic medical records that can be used to risk-adjust hospital outcome measures in the HIQR program.”  The CCDE are specified using the same standards as </w:t>
            </w:r>
            <w:proofErr w:type="spellStart"/>
            <w:r>
              <w:t>eCQM</w:t>
            </w:r>
            <w:proofErr w:type="spellEnd"/>
            <w:r>
              <w:t xml:space="preserve"> (QDM, HQMF, QRDA, etc.).  Karen then provided the specific use case regarding the measurement of troponin.  Troponin T or I proteins are released in the blood when the heart muscle is damaged.  “Normal” levels of troponin are </w:t>
            </w:r>
            <w:r>
              <w:rPr>
                <w:i/>
              </w:rPr>
              <w:t>low</w:t>
            </w:r>
            <w:r>
              <w:t xml:space="preserve">.  The upper limit of what is considered “normal”, however, differs depending on the laboratory and/or type of test used to measure the troponin.  The CCDE use a ratio of </w:t>
            </w:r>
            <w:r>
              <w:rPr>
                <w:i/>
              </w:rPr>
              <w:t>actual test result value / reference range high value</w:t>
            </w:r>
            <w:r>
              <w:t xml:space="preserve"> to determine the severity of the heart damage.  This requires the </w:t>
            </w:r>
            <w:r>
              <w:rPr>
                <w:i/>
              </w:rPr>
              <w:t>reference range</w:t>
            </w:r>
            <w:r>
              <w:t xml:space="preserve"> to be reported in QRDA, which in turn, requires</w:t>
            </w:r>
            <w:r w:rsidR="00D41C71">
              <w:t xml:space="preserve"> a way to request the </w:t>
            </w:r>
            <w:r w:rsidR="00D41C71">
              <w:rPr>
                <w:i/>
              </w:rPr>
              <w:t>reference range</w:t>
            </w:r>
            <w:r w:rsidR="00D41C71">
              <w:t xml:space="preserve"> using QDM and HQMF.</w:t>
            </w:r>
          </w:p>
          <w:p w14:paraId="6F02DB59" w14:textId="77777777" w:rsidR="00D41C71" w:rsidRDefault="00D41C71" w:rsidP="003338F7">
            <w:pPr>
              <w:spacing w:before="0" w:after="0"/>
              <w:ind w:left="0"/>
            </w:pPr>
          </w:p>
          <w:p w14:paraId="32C26075" w14:textId="77777777" w:rsidR="00D41C71" w:rsidRDefault="00D41C71" w:rsidP="002E6C4F">
            <w:pPr>
              <w:spacing w:before="0" w:after="0"/>
              <w:ind w:left="0"/>
            </w:pPr>
            <w:r>
              <w:t xml:space="preserve">MITRE then presented a proposal for new </w:t>
            </w:r>
            <w:r>
              <w:rPr>
                <w:i/>
              </w:rPr>
              <w:t>reference range low</w:t>
            </w:r>
            <w:r>
              <w:t xml:space="preserve"> and </w:t>
            </w:r>
            <w:r>
              <w:rPr>
                <w:i/>
              </w:rPr>
              <w:t>reference range high</w:t>
            </w:r>
            <w:r>
              <w:t xml:space="preserve"> attributes on the </w:t>
            </w:r>
            <w:r>
              <w:rPr>
                <w:i/>
              </w:rPr>
              <w:t>Laboratory Test, Performed</w:t>
            </w:r>
            <w:r>
              <w:t xml:space="preserve"> data type</w:t>
            </w:r>
            <w:r w:rsidR="002E6C4F">
              <w:t>, and opened up the topic for conversation.</w:t>
            </w:r>
          </w:p>
          <w:p w14:paraId="739A36B9" w14:textId="77777777" w:rsidR="002E6C4F" w:rsidRDefault="002E6C4F" w:rsidP="002E6C4F">
            <w:pPr>
              <w:spacing w:before="0" w:after="0"/>
              <w:ind w:left="0"/>
            </w:pPr>
          </w:p>
          <w:p w14:paraId="218D032B" w14:textId="4390B270" w:rsidR="002E6C4F" w:rsidRDefault="002E6C4F" w:rsidP="002E6C4F">
            <w:pPr>
              <w:spacing w:before="0" w:after="0"/>
              <w:ind w:left="0"/>
            </w:pPr>
            <w:r>
              <w:t xml:space="preserve">One participant noted that laboratories send back a flag indicating if a result is </w:t>
            </w:r>
            <w:r>
              <w:rPr>
                <w:i/>
              </w:rPr>
              <w:t>abnormal</w:t>
            </w:r>
            <w:r>
              <w:t>.  Could that flag be used instead?  Karen indicated that the flag would not be sufficient, as they need to understand the severity as as a scalar</w:t>
            </w:r>
            <w:r w:rsidR="00744B08">
              <w:t>, in order to fairly compare hospitals</w:t>
            </w:r>
            <w:r>
              <w:t>.  The value will be used as a continuous variable (CV).</w:t>
            </w:r>
          </w:p>
          <w:p w14:paraId="39BF4490" w14:textId="77777777" w:rsidR="002E6C4F" w:rsidRDefault="002E6C4F" w:rsidP="002E6C4F">
            <w:pPr>
              <w:spacing w:before="0" w:after="0"/>
              <w:ind w:left="0"/>
            </w:pPr>
          </w:p>
          <w:p w14:paraId="6E6048D3" w14:textId="52D3895F" w:rsidR="002E6C4F" w:rsidRDefault="002E6C4F" w:rsidP="00744B08">
            <w:pPr>
              <w:spacing w:before="0" w:after="0"/>
              <w:ind w:left="0"/>
            </w:pPr>
            <w:r>
              <w:t xml:space="preserve">Another participant asked if the LOINC codes could be used to determine the upper limit of the “normal” reference range.  One participant familiar with the CCDE indicated that </w:t>
            </w:r>
            <w:r>
              <w:rPr>
                <w:i/>
              </w:rPr>
              <w:t>some</w:t>
            </w:r>
            <w:r>
              <w:t xml:space="preserve"> LOINC codes encode the range, but not </w:t>
            </w:r>
            <w:r>
              <w:rPr>
                <w:i/>
              </w:rPr>
              <w:t>all</w:t>
            </w:r>
            <w:r>
              <w:t xml:space="preserve"> LOINC codes.  If a hospital reported using one of the more </w:t>
            </w:r>
            <w:r>
              <w:lastRenderedPageBreak/>
              <w:t>general LOINC codes, the reference range would not be able to be extracted.</w:t>
            </w:r>
            <w:r w:rsidR="00744B08">
              <w:t xml:space="preserve">  In addition, not all possible troponin test methods (and reference ranges) have distinct LOINC codes.  Another participant then indicated that new LOINC codes could be created if necessary.</w:t>
            </w:r>
          </w:p>
          <w:p w14:paraId="11218B1A" w14:textId="77777777" w:rsidR="00744B08" w:rsidRDefault="00744B08" w:rsidP="00744B08">
            <w:pPr>
              <w:spacing w:before="0" w:after="0"/>
              <w:ind w:left="0"/>
            </w:pPr>
          </w:p>
          <w:p w14:paraId="1849E04C" w14:textId="77777777" w:rsidR="00744B08" w:rsidRDefault="00744B08" w:rsidP="00744B08">
            <w:pPr>
              <w:spacing w:before="0" w:after="0"/>
              <w:ind w:left="0"/>
            </w:pPr>
            <w:r>
              <w:t xml:space="preserve">Another participant cautioned that while the data for reference range is available in lab test results, it might not be available discreetly.  That said, the concept of using reference ranges in </w:t>
            </w:r>
            <w:proofErr w:type="spellStart"/>
            <w:r>
              <w:t>eCQMs</w:t>
            </w:r>
            <w:proofErr w:type="spellEnd"/>
            <w:r>
              <w:t xml:space="preserve"> seems fair and should be supported.</w:t>
            </w:r>
          </w:p>
          <w:p w14:paraId="47108552" w14:textId="77777777" w:rsidR="00744B08" w:rsidRDefault="00744B08" w:rsidP="00744B08">
            <w:pPr>
              <w:spacing w:before="0" w:after="0"/>
              <w:ind w:left="0"/>
            </w:pPr>
          </w:p>
          <w:p w14:paraId="69991F87" w14:textId="2FCEE90C" w:rsidR="00744B08" w:rsidRDefault="00744B08" w:rsidP="00744B08">
            <w:pPr>
              <w:spacing w:before="0" w:after="0"/>
              <w:ind w:left="0"/>
            </w:pPr>
            <w:r>
              <w:t xml:space="preserve">The main concern, voiced by a few participants, was that adding a </w:t>
            </w:r>
            <w:r w:rsidR="00A53B21">
              <w:t xml:space="preserve">discrete </w:t>
            </w:r>
            <w:r>
              <w:t>reference range, separate from the LOINC code, introduces an opportunity for errors.  An incorrectly reported reference range could have unfortunate consequences in risk modeling.  Depending only on the LOINC code would be more accurate.</w:t>
            </w:r>
          </w:p>
          <w:p w14:paraId="325B5F27" w14:textId="77777777" w:rsidR="00744B08" w:rsidRDefault="00744B08" w:rsidP="00744B08">
            <w:pPr>
              <w:spacing w:before="0" w:after="0"/>
              <w:ind w:left="0"/>
            </w:pPr>
          </w:p>
          <w:p w14:paraId="009848C9" w14:textId="2FCF3F96" w:rsidR="00F204A2" w:rsidRDefault="00F204A2" w:rsidP="00744B08">
            <w:pPr>
              <w:spacing w:before="0" w:after="0"/>
              <w:ind w:left="0"/>
            </w:pPr>
            <w:r>
              <w:t xml:space="preserve">Another participant suggested that we </w:t>
            </w:r>
            <w:r w:rsidR="00544712">
              <w:t>couldn’t</w:t>
            </w:r>
            <w:r>
              <w:t xml:space="preserve"> expect an ideal world where this can all be solved by LOINC.  We may need to normalize to a local reference range, as proposed here.  Someone else also reminded the group that QDM does not prescribe where the data is stored, so it is possible that the reported reference range can still be extracted from the LOINC code when the report is created.</w:t>
            </w:r>
          </w:p>
          <w:p w14:paraId="5BA41F62" w14:textId="77777777" w:rsidR="00F204A2" w:rsidRDefault="00F204A2" w:rsidP="00744B08">
            <w:pPr>
              <w:spacing w:before="0" w:after="0"/>
              <w:ind w:left="0"/>
            </w:pPr>
          </w:p>
          <w:p w14:paraId="4E3EDAE8" w14:textId="77777777" w:rsidR="00744B08" w:rsidRDefault="00744B08" w:rsidP="00744B08">
            <w:pPr>
              <w:spacing w:before="0" w:after="0"/>
              <w:ind w:left="0"/>
            </w:pPr>
            <w:r>
              <w:t>Several other participants also came out in support of adding the reference range attributes</w:t>
            </w:r>
            <w:r w:rsidR="00F204A2">
              <w:t xml:space="preserve"> to </w:t>
            </w:r>
            <w:r w:rsidR="00F204A2">
              <w:rPr>
                <w:i/>
              </w:rPr>
              <w:t>Laboratory Test, Performed</w:t>
            </w:r>
            <w:r>
              <w:t>.</w:t>
            </w:r>
            <w:r w:rsidR="00F204A2">
              <w:t xml:space="preserve">  The data is available, it makes sense for it to be </w:t>
            </w:r>
            <w:proofErr w:type="spellStart"/>
            <w:r w:rsidR="00F204A2">
              <w:t>queryable</w:t>
            </w:r>
            <w:proofErr w:type="spellEnd"/>
            <w:r w:rsidR="00F204A2">
              <w:t>, it’s not hard to imagine other use cases, and other standards (e.g., C-CDA, FHIR) already support it.</w:t>
            </w:r>
          </w:p>
          <w:p w14:paraId="5C60D789" w14:textId="77777777" w:rsidR="00F204A2" w:rsidRDefault="00F204A2" w:rsidP="00744B08">
            <w:pPr>
              <w:spacing w:before="0" w:after="0"/>
              <w:ind w:left="0"/>
            </w:pPr>
          </w:p>
          <w:p w14:paraId="2B3E0911" w14:textId="0A399A22" w:rsidR="00F204A2" w:rsidRPr="002E6C4F" w:rsidRDefault="00F204A2" w:rsidP="00744B08">
            <w:pPr>
              <w:spacing w:before="0" w:after="0"/>
              <w:ind w:left="0"/>
            </w:pPr>
            <w:r>
              <w:t>MITRE indicated that it heard more supporters of the proposal than otherwise, so it would move this proposal on to the next step and bring it to the MCCB.  MITRE also indicated that the MCCB would be made aware of the concerns raised in this discussion so that they can make an informed decision.</w:t>
            </w:r>
          </w:p>
        </w:tc>
      </w:tr>
      <w:tr w:rsidR="003338F7" w:rsidRPr="00DF7E73" w14:paraId="78DD8C83" w14:textId="77777777" w:rsidTr="003338F7">
        <w:trPr>
          <w:trHeight w:val="737"/>
        </w:trPr>
        <w:tc>
          <w:tcPr>
            <w:tcW w:w="1710" w:type="dxa"/>
          </w:tcPr>
          <w:p w14:paraId="249439BD" w14:textId="4254E850" w:rsidR="00274EA7" w:rsidRPr="0068057C" w:rsidRDefault="00CE72A1" w:rsidP="00B65EF4">
            <w:pPr>
              <w:ind w:left="0"/>
              <w:rPr>
                <w:rFonts w:ascii="Palatino" w:hAnsi="Palatino"/>
              </w:rPr>
            </w:pPr>
            <w:r>
              <w:rPr>
                <w:rFonts w:ascii="Palatino" w:hAnsi="Palatino"/>
              </w:rPr>
              <w:lastRenderedPageBreak/>
              <w:t>3</w:t>
            </w:r>
            <w:r w:rsidR="00AF7819">
              <w:rPr>
                <w:rFonts w:ascii="Palatino" w:hAnsi="Palatino"/>
              </w:rPr>
              <w:t>:</w:t>
            </w:r>
            <w:r w:rsidR="00B65EF4">
              <w:rPr>
                <w:rFonts w:ascii="Palatino" w:hAnsi="Palatino"/>
              </w:rPr>
              <w:t>00</w:t>
            </w:r>
            <w:r>
              <w:rPr>
                <w:rFonts w:ascii="Palatino" w:hAnsi="Palatino"/>
              </w:rPr>
              <w:t xml:space="preserve"> </w:t>
            </w:r>
            <w:r w:rsidR="00AF7819">
              <w:rPr>
                <w:rFonts w:ascii="Palatino" w:hAnsi="Palatino"/>
              </w:rPr>
              <w:t>PM</w:t>
            </w:r>
          </w:p>
        </w:tc>
        <w:tc>
          <w:tcPr>
            <w:tcW w:w="3546" w:type="dxa"/>
          </w:tcPr>
          <w:p w14:paraId="6577C1E1" w14:textId="204D1FA7" w:rsidR="00274EA7" w:rsidRPr="005178F1" w:rsidRDefault="003C4CE6" w:rsidP="005178F1">
            <w:pPr>
              <w:spacing w:before="0" w:after="0"/>
              <w:ind w:left="0"/>
              <w:rPr>
                <w:rFonts w:ascii="Arial" w:hAnsi="Arial" w:cs="Arial"/>
                <w:color w:val="262626"/>
                <w:sz w:val="28"/>
                <w:szCs w:val="28"/>
              </w:rPr>
            </w:pPr>
            <w:hyperlink r:id="rId14" w:history="1">
              <w:r w:rsidR="00AF585A">
                <w:rPr>
                  <w:rStyle w:val="Hyperlink"/>
                  <w:rFonts w:asciiTheme="minorHAnsi" w:hAnsiTheme="minorHAnsi" w:cstheme="minorBidi"/>
                  <w:color w:val="0000FF"/>
                </w:rPr>
                <w:t>QDM-107</w:t>
              </w:r>
            </w:hyperlink>
            <w:r w:rsidR="00AF585A">
              <w:t xml:space="preserve">: </w:t>
            </w:r>
            <w:r w:rsidR="00AF585A">
              <w:rPr>
                <w:rStyle w:val="Hyperlink"/>
                <w:rFonts w:ascii="Palatino" w:hAnsi="Palatino" w:cstheme="minorBidi"/>
                <w:i/>
                <w:color w:val="auto"/>
                <w:u w:val="none"/>
              </w:rPr>
              <w:t>Consider re-specifying family history</w:t>
            </w:r>
          </w:p>
        </w:tc>
        <w:tc>
          <w:tcPr>
            <w:tcW w:w="9180" w:type="dxa"/>
          </w:tcPr>
          <w:p w14:paraId="67A59DE4" w14:textId="77777777" w:rsidR="006C4616" w:rsidRDefault="007959BA" w:rsidP="00EE62E7">
            <w:pPr>
              <w:spacing w:before="0" w:after="0"/>
              <w:ind w:left="0"/>
            </w:pPr>
            <w:r>
              <w:t>MITRE pr</w:t>
            </w:r>
            <w:r w:rsidR="00EE62E7">
              <w:t xml:space="preserve">oposed a solution that renames </w:t>
            </w:r>
            <w:r w:rsidRPr="00EE62E7">
              <w:rPr>
                <w:i/>
              </w:rPr>
              <w:t>Diagnosis, Family History</w:t>
            </w:r>
            <w:r w:rsidR="00EE62E7">
              <w:t xml:space="preserve"> to </w:t>
            </w:r>
            <w:r w:rsidRPr="00EE62E7">
              <w:rPr>
                <w:i/>
              </w:rPr>
              <w:t>Family History</w:t>
            </w:r>
            <w:r>
              <w:t xml:space="preserve">, and supports the following attributes: </w:t>
            </w:r>
            <w:r>
              <w:rPr>
                <w:i/>
              </w:rPr>
              <w:t>relationship</w:t>
            </w:r>
            <w:r>
              <w:t xml:space="preserve">, </w:t>
            </w:r>
            <w:r>
              <w:rPr>
                <w:i/>
              </w:rPr>
              <w:t>onset age</w:t>
            </w:r>
            <w:r>
              <w:t xml:space="preserve">, </w:t>
            </w:r>
            <w:proofErr w:type="gramStart"/>
            <w:r>
              <w:rPr>
                <w:i/>
              </w:rPr>
              <w:t>recorded</w:t>
            </w:r>
            <w:proofErr w:type="gramEnd"/>
            <w:r>
              <w:rPr>
                <w:i/>
              </w:rPr>
              <w:t xml:space="preserve"> </w:t>
            </w:r>
            <w:proofErr w:type="spellStart"/>
            <w:r>
              <w:rPr>
                <w:i/>
              </w:rPr>
              <w:t>datetime</w:t>
            </w:r>
            <w:proofErr w:type="spellEnd"/>
            <w:r>
              <w:t>.</w:t>
            </w:r>
            <w:r w:rsidR="00EE62E7">
              <w:t xml:space="preserve">  The value set applied to </w:t>
            </w:r>
            <w:r w:rsidR="00EE62E7" w:rsidRPr="00EE62E7">
              <w:rPr>
                <w:i/>
              </w:rPr>
              <w:t>Family History</w:t>
            </w:r>
            <w:r w:rsidR="00EE62E7">
              <w:t xml:space="preserve"> indicates the diagnosis the family member had (e.g., Diabetes).</w:t>
            </w:r>
          </w:p>
          <w:p w14:paraId="57A72C03" w14:textId="77777777" w:rsidR="00EE62E7" w:rsidRDefault="00EE62E7" w:rsidP="00EE62E7">
            <w:pPr>
              <w:spacing w:before="0" w:after="0"/>
              <w:ind w:left="0"/>
            </w:pPr>
          </w:p>
          <w:p w14:paraId="679A54EE" w14:textId="77777777" w:rsidR="00EE62E7" w:rsidRDefault="00EE62E7" w:rsidP="00EE62E7">
            <w:pPr>
              <w:spacing w:before="0" w:after="0"/>
              <w:ind w:left="0"/>
            </w:pPr>
            <w:r>
              <w:t xml:space="preserve">One participant asked if the </w:t>
            </w:r>
            <w:r>
              <w:rPr>
                <w:i/>
              </w:rPr>
              <w:t>relationship</w:t>
            </w:r>
            <w:r>
              <w:t xml:space="preserve"> indicated gender.  MITRE answered that most relationship codes do indicate the gender (e.g., father, mother, grandfather, grandmother, etc.).</w:t>
            </w:r>
          </w:p>
          <w:p w14:paraId="26B9121F" w14:textId="77777777" w:rsidR="00EE62E7" w:rsidRDefault="00EE62E7" w:rsidP="00EE62E7">
            <w:pPr>
              <w:spacing w:before="0" w:after="0"/>
              <w:ind w:left="0"/>
            </w:pPr>
          </w:p>
          <w:p w14:paraId="60A74FE2" w14:textId="77777777" w:rsidR="00EE62E7" w:rsidRDefault="00EE62E7" w:rsidP="00EE62E7">
            <w:pPr>
              <w:spacing w:before="0" w:after="0"/>
              <w:ind w:left="0"/>
            </w:pPr>
            <w:r>
              <w:lastRenderedPageBreak/>
              <w:t xml:space="preserve">MITRE asked if the </w:t>
            </w:r>
            <w:r>
              <w:rPr>
                <w:i/>
              </w:rPr>
              <w:t>onset age</w:t>
            </w:r>
            <w:r>
              <w:t xml:space="preserve"> could be defined as age in </w:t>
            </w:r>
            <w:r>
              <w:rPr>
                <w:i/>
              </w:rPr>
              <w:t>years</w:t>
            </w:r>
            <w:r>
              <w:t xml:space="preserve">, or if it needed to be more precise.  After a small amount of discussion, the user group concluded that </w:t>
            </w:r>
            <w:r>
              <w:rPr>
                <w:i/>
              </w:rPr>
              <w:t>year</w:t>
            </w:r>
            <w:r>
              <w:t xml:space="preserve"> granularity would be sufficient.</w:t>
            </w:r>
          </w:p>
          <w:p w14:paraId="0DB06D31" w14:textId="77777777" w:rsidR="00EE62E7" w:rsidRDefault="00EE62E7" w:rsidP="00EE62E7">
            <w:pPr>
              <w:spacing w:before="0" w:after="0"/>
              <w:ind w:left="0"/>
            </w:pPr>
          </w:p>
          <w:p w14:paraId="5564FA12" w14:textId="77777777" w:rsidR="00EE62E7" w:rsidRDefault="00EE62E7" w:rsidP="00EE62E7">
            <w:pPr>
              <w:spacing w:before="0" w:after="0"/>
              <w:ind w:left="0"/>
            </w:pPr>
            <w:r>
              <w:t xml:space="preserve">MITRE also asked if it was necessary to represent the notion that a family member </w:t>
            </w:r>
            <w:r>
              <w:rPr>
                <w:i/>
              </w:rPr>
              <w:t>did not</w:t>
            </w:r>
            <w:r>
              <w:t xml:space="preserve"> have a certain diagnosis (</w:t>
            </w:r>
            <w:r>
              <w:rPr>
                <w:i/>
              </w:rPr>
              <w:t>evidence of absence</w:t>
            </w:r>
            <w:r>
              <w:t xml:space="preserve">, as opposed to </w:t>
            </w:r>
            <w:r>
              <w:rPr>
                <w:i/>
              </w:rPr>
              <w:t>absence of evidence</w:t>
            </w:r>
            <w:r>
              <w:t>).  The user group determined that this was not needed now, but could be added in the future if sufficient use cases arose.</w:t>
            </w:r>
          </w:p>
          <w:p w14:paraId="5C91AA59" w14:textId="77777777" w:rsidR="00EE62E7" w:rsidRDefault="00EE62E7" w:rsidP="00EE62E7">
            <w:pPr>
              <w:spacing w:before="0" w:after="0"/>
              <w:ind w:left="0"/>
            </w:pPr>
          </w:p>
          <w:p w14:paraId="3E55B3BF" w14:textId="7F997CA2" w:rsidR="00EE62E7" w:rsidRPr="00EE62E7" w:rsidRDefault="00EE62E7" w:rsidP="00EE62E7">
            <w:pPr>
              <w:spacing w:before="0" w:after="0"/>
              <w:ind w:left="0"/>
            </w:pPr>
            <w:r>
              <w:t>The UG agreed to the proposed change, and MITRE indicated it would move it to the next step in the process (bringing it to MCCB).</w:t>
            </w:r>
          </w:p>
        </w:tc>
      </w:tr>
      <w:tr w:rsidR="003338F7" w:rsidRPr="00DF7E73" w14:paraId="1BDC6B15" w14:textId="77777777" w:rsidTr="003338F7">
        <w:trPr>
          <w:trHeight w:val="843"/>
        </w:trPr>
        <w:tc>
          <w:tcPr>
            <w:tcW w:w="1710" w:type="dxa"/>
          </w:tcPr>
          <w:p w14:paraId="39E0C046" w14:textId="1DDA58E9" w:rsidR="00274EA7" w:rsidRPr="00DA451F" w:rsidRDefault="00B65EF4" w:rsidP="00B65EF4">
            <w:pPr>
              <w:ind w:left="0"/>
              <w:rPr>
                <w:rFonts w:ascii="Palatino" w:hAnsi="Palatino"/>
              </w:rPr>
            </w:pPr>
            <w:r>
              <w:rPr>
                <w:rFonts w:ascii="Palatino" w:hAnsi="Palatino"/>
              </w:rPr>
              <w:lastRenderedPageBreak/>
              <w:t>3:30 PM</w:t>
            </w:r>
          </w:p>
        </w:tc>
        <w:tc>
          <w:tcPr>
            <w:tcW w:w="3546" w:type="dxa"/>
          </w:tcPr>
          <w:p w14:paraId="7E3D06C8" w14:textId="40D9161E" w:rsidR="00274EA7" w:rsidRPr="0068057C" w:rsidRDefault="003C4CE6" w:rsidP="00B65EF4">
            <w:pPr>
              <w:spacing w:before="0" w:after="0"/>
              <w:ind w:left="0"/>
              <w:rPr>
                <w:rFonts w:ascii="Palatino" w:hAnsi="Palatino"/>
                <w:u w:val="single"/>
              </w:rPr>
            </w:pPr>
            <w:hyperlink r:id="rId15" w:history="1">
              <w:r w:rsidR="0040665D" w:rsidRPr="0040665D">
                <w:rPr>
                  <w:rStyle w:val="Hyperlink"/>
                  <w:rFonts w:asciiTheme="minorHAnsi" w:hAnsiTheme="minorHAnsi" w:cstheme="minorBidi"/>
                  <w:color w:val="0000FF"/>
                </w:rPr>
                <w:t>QDM-108</w:t>
              </w:r>
            </w:hyperlink>
            <w:r w:rsidR="0040665D">
              <w:t xml:space="preserve">: </w:t>
            </w:r>
            <w:r w:rsidR="00AF585A" w:rsidRPr="0040665D">
              <w:rPr>
                <w:i/>
              </w:rPr>
              <w:t>Patient provider preference</w:t>
            </w:r>
          </w:p>
        </w:tc>
        <w:tc>
          <w:tcPr>
            <w:tcW w:w="9180" w:type="dxa"/>
          </w:tcPr>
          <w:p w14:paraId="327391BC" w14:textId="7CFBDAFA" w:rsidR="00D75AC8" w:rsidRDefault="004E0201" w:rsidP="000515BD">
            <w:pPr>
              <w:spacing w:before="0" w:after="0"/>
              <w:ind w:left="0"/>
            </w:pPr>
            <w:r>
              <w:t xml:space="preserve">MITRE introduced the topic by </w:t>
            </w:r>
            <w:r w:rsidR="000515BD">
              <w:t xml:space="preserve">indicating the difficulty in mapping QDM’s </w:t>
            </w:r>
            <w:r w:rsidR="000515BD">
              <w:rPr>
                <w:i/>
              </w:rPr>
              <w:t>patient preference</w:t>
            </w:r>
            <w:r w:rsidR="000515BD">
              <w:t xml:space="preserve"> and </w:t>
            </w:r>
            <w:r w:rsidR="000515BD">
              <w:rPr>
                <w:i/>
              </w:rPr>
              <w:t>provider preference</w:t>
            </w:r>
            <w:r w:rsidR="000515BD">
              <w:t xml:space="preserve"> attributes to FHIR and other data models.  In practice, the meaning of these attributes is often ambiguous, or might not even make sense in the context of certain data types (e.g., </w:t>
            </w:r>
            <w:r w:rsidR="000515BD" w:rsidRPr="000515BD">
              <w:rPr>
                <w:i/>
              </w:rPr>
              <w:t xml:space="preserve">Medication, </w:t>
            </w:r>
            <w:r w:rsidR="00864E32">
              <w:rPr>
                <w:i/>
              </w:rPr>
              <w:t>Intolerance</w:t>
            </w:r>
            <w:r w:rsidR="000515BD">
              <w:t xml:space="preserve">).  In addition, use cases for quality measurement have been difficult to find.  The most promising use cases are when a patient preference is used as a reason for </w:t>
            </w:r>
            <w:r w:rsidR="000515BD">
              <w:rPr>
                <w:i/>
              </w:rPr>
              <w:t>not</w:t>
            </w:r>
            <w:r w:rsidR="000515BD">
              <w:t xml:space="preserve"> doing something, but these are better represented using </w:t>
            </w:r>
            <w:r w:rsidR="000515BD">
              <w:rPr>
                <w:i/>
              </w:rPr>
              <w:t>negation rationale</w:t>
            </w:r>
            <w:r w:rsidR="000515BD">
              <w:t xml:space="preserve">.  Despite </w:t>
            </w:r>
            <w:r w:rsidR="000515BD">
              <w:rPr>
                <w:i/>
              </w:rPr>
              <w:t>patient preference</w:t>
            </w:r>
            <w:r w:rsidR="000515BD">
              <w:t xml:space="preserve"> and </w:t>
            </w:r>
            <w:r w:rsidR="000515BD">
              <w:rPr>
                <w:i/>
              </w:rPr>
              <w:t>provider preference</w:t>
            </w:r>
            <w:r w:rsidR="000515BD">
              <w:t xml:space="preserve"> being available for many years, they have never been used in any MU measure.</w:t>
            </w:r>
          </w:p>
          <w:p w14:paraId="2DC995D6" w14:textId="77777777" w:rsidR="000515BD" w:rsidRDefault="000515BD" w:rsidP="000515BD">
            <w:pPr>
              <w:spacing w:before="0" w:after="0"/>
              <w:ind w:left="0"/>
            </w:pPr>
          </w:p>
          <w:p w14:paraId="73AAB779" w14:textId="5D2DBBB3" w:rsidR="000515BD" w:rsidRPr="000515BD" w:rsidRDefault="000515BD" w:rsidP="000515BD">
            <w:pPr>
              <w:spacing w:before="0" w:after="0"/>
              <w:ind w:left="0"/>
            </w:pPr>
            <w:r>
              <w:t xml:space="preserve">After brief discussion, the user group unanimously concluded that these attributes should be entirely </w:t>
            </w:r>
            <w:r>
              <w:rPr>
                <w:i/>
              </w:rPr>
              <w:t>removed</w:t>
            </w:r>
            <w:r>
              <w:t xml:space="preserve"> from the QDM.  MITRE indicated that this proposal would be brought to the MCCB.</w:t>
            </w:r>
          </w:p>
        </w:tc>
      </w:tr>
      <w:tr w:rsidR="003338F7" w:rsidRPr="00DF7E73" w14:paraId="156C8332" w14:textId="77777777" w:rsidTr="003338F7">
        <w:trPr>
          <w:trHeight w:val="665"/>
        </w:trPr>
        <w:tc>
          <w:tcPr>
            <w:tcW w:w="1710" w:type="dxa"/>
          </w:tcPr>
          <w:p w14:paraId="2507F02C" w14:textId="16AAB40A" w:rsidR="00274EA7" w:rsidRPr="00DA451F" w:rsidRDefault="00B65EF4" w:rsidP="00B81AFA">
            <w:pPr>
              <w:ind w:left="0"/>
              <w:rPr>
                <w:rFonts w:ascii="Palatino" w:hAnsi="Palatino"/>
              </w:rPr>
            </w:pPr>
            <w:r>
              <w:rPr>
                <w:rFonts w:ascii="Palatino" w:hAnsi="Palatino"/>
              </w:rPr>
              <w:t>4:00 PM</w:t>
            </w:r>
          </w:p>
        </w:tc>
        <w:tc>
          <w:tcPr>
            <w:tcW w:w="3546" w:type="dxa"/>
          </w:tcPr>
          <w:p w14:paraId="3C959E4D" w14:textId="4E897091" w:rsidR="00274EA7" w:rsidRPr="0068057C" w:rsidRDefault="003C4CE6" w:rsidP="00B65EF4">
            <w:pPr>
              <w:spacing w:before="0" w:after="0"/>
              <w:ind w:left="0"/>
              <w:rPr>
                <w:rStyle w:val="Hyperlink"/>
                <w:rFonts w:ascii="Palatino" w:hAnsi="Palatino" w:cstheme="minorBidi"/>
                <w:color w:val="auto"/>
                <w:u w:val="none"/>
              </w:rPr>
            </w:pPr>
            <w:hyperlink r:id="rId16" w:history="1">
              <w:r w:rsidR="00C60BB8" w:rsidRPr="00C60BB8">
                <w:rPr>
                  <w:rStyle w:val="Hyperlink"/>
                  <w:rFonts w:ascii="Palatino" w:hAnsi="Palatino" w:cstheme="minorBidi"/>
                  <w:color w:val="0000FF"/>
                </w:rPr>
                <w:t>QDM-109</w:t>
              </w:r>
            </w:hyperlink>
            <w:r w:rsidR="00C60BB8" w:rsidRPr="00C60BB8">
              <w:rPr>
                <w:rStyle w:val="Hyperlink"/>
                <w:rFonts w:ascii="Palatino" w:hAnsi="Palatino" w:cstheme="minorBidi"/>
                <w:color w:val="0000FF"/>
                <w:u w:val="none"/>
              </w:rPr>
              <w:t>:</w:t>
            </w:r>
            <w:r w:rsidR="00C60BB8">
              <w:rPr>
                <w:rStyle w:val="Hyperlink"/>
                <w:rFonts w:ascii="Palatino" w:hAnsi="Palatino" w:cstheme="minorBidi"/>
                <w:color w:val="auto"/>
                <w:u w:val="none"/>
              </w:rPr>
              <w:t xml:space="preserve"> </w:t>
            </w:r>
            <w:r w:rsidR="00AF585A" w:rsidRPr="00C60BB8">
              <w:rPr>
                <w:rStyle w:val="Hyperlink"/>
                <w:rFonts w:ascii="Palatino" w:hAnsi="Palatino" w:cstheme="minorBidi"/>
                <w:i/>
                <w:color w:val="auto"/>
                <w:u w:val="none"/>
              </w:rPr>
              <w:t>Negation rational</w:t>
            </w:r>
            <w:r w:rsidR="00C60BB8" w:rsidRPr="00C60BB8">
              <w:rPr>
                <w:rStyle w:val="Hyperlink"/>
                <w:rFonts w:ascii="Palatino" w:hAnsi="Palatino" w:cstheme="minorBidi"/>
                <w:i/>
                <w:color w:val="auto"/>
                <w:u w:val="none"/>
              </w:rPr>
              <w:t>e cleanup</w:t>
            </w:r>
          </w:p>
        </w:tc>
        <w:tc>
          <w:tcPr>
            <w:tcW w:w="9180" w:type="dxa"/>
          </w:tcPr>
          <w:p w14:paraId="757EDAD1" w14:textId="195D8621" w:rsidR="00274EA7" w:rsidRDefault="00864E32" w:rsidP="00864E32">
            <w:pPr>
              <w:spacing w:before="0" w:after="0"/>
              <w:ind w:left="0"/>
            </w:pPr>
            <w:r>
              <w:t xml:space="preserve">MITRE introduced the topic by indicating the difficulty of mapping certain data types’ </w:t>
            </w:r>
            <w:r>
              <w:rPr>
                <w:i/>
              </w:rPr>
              <w:t>negation rationale</w:t>
            </w:r>
            <w:r>
              <w:t xml:space="preserve"> to FHIR and other data models.  For some data types, the meaning and mapping are quite clear, but for others it is much more ambiguous.  MITRE proposed that </w:t>
            </w:r>
            <w:r>
              <w:rPr>
                <w:i/>
              </w:rPr>
              <w:t>negation rationale</w:t>
            </w:r>
            <w:r>
              <w:t xml:space="preserve"> be removed from </w:t>
            </w:r>
            <w:r>
              <w:rPr>
                <w:i/>
              </w:rPr>
              <w:t>some</w:t>
            </w:r>
            <w:r>
              <w:t xml:space="preserve"> data types, including all </w:t>
            </w:r>
            <w:r>
              <w:rPr>
                <w:i/>
              </w:rPr>
              <w:t>Adverse Event</w:t>
            </w:r>
            <w:r>
              <w:t xml:space="preserve"> data types, </w:t>
            </w:r>
            <w:r>
              <w:rPr>
                <w:i/>
              </w:rPr>
              <w:t>Family History</w:t>
            </w:r>
            <w:r>
              <w:t xml:space="preserve">, </w:t>
            </w:r>
            <w:r>
              <w:rPr>
                <w:i/>
              </w:rPr>
              <w:t>Patient Care Experience</w:t>
            </w:r>
            <w:r>
              <w:t xml:space="preserve">, </w:t>
            </w:r>
            <w:r>
              <w:rPr>
                <w:i/>
              </w:rPr>
              <w:t>Provider Care Experience</w:t>
            </w:r>
            <w:r>
              <w:t xml:space="preserve">, and </w:t>
            </w:r>
            <w:r>
              <w:rPr>
                <w:i/>
              </w:rPr>
              <w:t>Provider Characteristic</w:t>
            </w:r>
            <w:r>
              <w:t xml:space="preserve">.  MITRE then </w:t>
            </w:r>
            <w:r w:rsidR="00052BFD">
              <w:t>shared</w:t>
            </w:r>
            <w:r>
              <w:t xml:space="preserve"> a slide i</w:t>
            </w:r>
            <w:r w:rsidR="00052BFD">
              <w:t xml:space="preserve">ndicating which data types have instances of </w:t>
            </w:r>
            <w:r w:rsidR="00052BFD">
              <w:rPr>
                <w:i/>
              </w:rPr>
              <w:t xml:space="preserve">negation </w:t>
            </w:r>
            <w:r w:rsidR="00052BFD" w:rsidRPr="00052BFD">
              <w:rPr>
                <w:i/>
              </w:rPr>
              <w:t>rationale</w:t>
            </w:r>
            <w:r w:rsidR="00052BFD">
              <w:t xml:space="preserve"> that are currently in use in </w:t>
            </w:r>
            <w:r w:rsidR="00052BFD" w:rsidRPr="00052BFD">
              <w:t>MU</w:t>
            </w:r>
            <w:r w:rsidR="00052BFD">
              <w:t>-2 measures.  MITRE then opened the topic for conversation.</w:t>
            </w:r>
          </w:p>
          <w:p w14:paraId="191F978D" w14:textId="77777777" w:rsidR="00864E32" w:rsidRDefault="00864E32" w:rsidP="00864E32">
            <w:pPr>
              <w:spacing w:before="0" w:after="0"/>
              <w:ind w:left="0"/>
            </w:pPr>
          </w:p>
          <w:p w14:paraId="253715CB" w14:textId="04C43E94" w:rsidR="00864E32" w:rsidRDefault="00052BFD" w:rsidP="00864E32">
            <w:pPr>
              <w:spacing w:before="0" w:after="0"/>
              <w:ind w:left="0"/>
            </w:pPr>
            <w:r>
              <w:t>One</w:t>
            </w:r>
            <w:r w:rsidR="00864E32">
              <w:t xml:space="preserve"> </w:t>
            </w:r>
            <w:r>
              <w:t xml:space="preserve">UG </w:t>
            </w:r>
            <w:r w:rsidR="00864E32">
              <w:t xml:space="preserve">participant suggested that </w:t>
            </w:r>
            <w:r w:rsidR="00864E32">
              <w:rPr>
                <w:i/>
              </w:rPr>
              <w:t>negation rationale</w:t>
            </w:r>
            <w:r w:rsidR="00864E32">
              <w:t xml:space="preserve"> should also be removed from </w:t>
            </w:r>
            <w:r w:rsidR="00864E32">
              <w:rPr>
                <w:i/>
              </w:rPr>
              <w:t>Care Goal</w:t>
            </w:r>
            <w:r w:rsidR="00864E32">
              <w:t xml:space="preserve"> and </w:t>
            </w:r>
            <w:r w:rsidR="00864E32">
              <w:rPr>
                <w:i/>
              </w:rPr>
              <w:t>Diagnosis</w:t>
            </w:r>
            <w:r w:rsidR="00864E32">
              <w:t xml:space="preserve">.  </w:t>
            </w:r>
            <w:r>
              <w:t>Another participant</w:t>
            </w:r>
            <w:r w:rsidR="00864E32">
              <w:t xml:space="preserve"> suggested it be removed from all </w:t>
            </w:r>
            <w:r w:rsidR="00864E32" w:rsidRPr="00864E32">
              <w:rPr>
                <w:i/>
              </w:rPr>
              <w:t>Allergy</w:t>
            </w:r>
            <w:r w:rsidR="00864E32">
              <w:t xml:space="preserve"> and </w:t>
            </w:r>
            <w:r w:rsidR="00864E32" w:rsidRPr="00864E32">
              <w:rPr>
                <w:i/>
              </w:rPr>
              <w:t>Intolerance</w:t>
            </w:r>
            <w:r w:rsidR="00864E32">
              <w:t xml:space="preserve"> data types as well.  </w:t>
            </w:r>
            <w:r w:rsidR="00864E32" w:rsidRPr="00864E32">
              <w:t>MITRE</w:t>
            </w:r>
            <w:r w:rsidR="00864E32">
              <w:t xml:space="preserve"> asked if </w:t>
            </w:r>
            <w:r w:rsidR="00864E32">
              <w:rPr>
                <w:i/>
              </w:rPr>
              <w:t>negation rationale</w:t>
            </w:r>
            <w:r w:rsidR="00864E32">
              <w:t xml:space="preserve"> was ever used to indicate the </w:t>
            </w:r>
            <w:r w:rsidR="00864E32">
              <w:rPr>
                <w:i/>
              </w:rPr>
              <w:t>non-occurrence</w:t>
            </w:r>
            <w:r w:rsidR="00864E32">
              <w:t xml:space="preserve"> of a </w:t>
            </w:r>
            <w:r w:rsidR="00864E32">
              <w:rPr>
                <w:i/>
              </w:rPr>
              <w:lastRenderedPageBreak/>
              <w:t>Diagnosis</w:t>
            </w:r>
            <w:r w:rsidR="00864E32">
              <w:t xml:space="preserve">, </w:t>
            </w:r>
            <w:r w:rsidR="00864E32">
              <w:rPr>
                <w:i/>
              </w:rPr>
              <w:t>Allergy</w:t>
            </w:r>
            <w:r w:rsidR="00864E32">
              <w:t xml:space="preserve">, or </w:t>
            </w:r>
            <w:r w:rsidR="00864E32">
              <w:rPr>
                <w:i/>
              </w:rPr>
              <w:t>Intolerance</w:t>
            </w:r>
            <w:r w:rsidR="00864E32">
              <w:t xml:space="preserve">, but the UG confirmed </w:t>
            </w:r>
            <w:r>
              <w:t xml:space="preserve">that </w:t>
            </w:r>
            <w:r w:rsidR="00864E32">
              <w:t xml:space="preserve">this was not a proper use of </w:t>
            </w:r>
            <w:r w:rsidR="00864E32">
              <w:rPr>
                <w:i/>
              </w:rPr>
              <w:t>negation rationale</w:t>
            </w:r>
            <w:r w:rsidR="00864E32">
              <w:t>.</w:t>
            </w:r>
          </w:p>
          <w:p w14:paraId="77A156AE" w14:textId="77777777" w:rsidR="00052BFD" w:rsidRDefault="00052BFD" w:rsidP="00864E32">
            <w:pPr>
              <w:spacing w:before="0" w:after="0"/>
              <w:ind w:left="0"/>
            </w:pPr>
          </w:p>
          <w:p w14:paraId="038743C8" w14:textId="79C8CAB6" w:rsidR="00052BFD" w:rsidRDefault="00052BFD" w:rsidP="00864E32">
            <w:pPr>
              <w:spacing w:before="0" w:after="0"/>
              <w:ind w:left="0"/>
            </w:pPr>
            <w:r>
              <w:t xml:space="preserve">A UG participant then suggested that this could be simplified by indicating that </w:t>
            </w:r>
            <w:r>
              <w:rPr>
                <w:i/>
              </w:rPr>
              <w:t>negation rationale</w:t>
            </w:r>
            <w:r>
              <w:t xml:space="preserve"> is only valid on those data types that represent an </w:t>
            </w:r>
            <w:r>
              <w:rPr>
                <w:i/>
              </w:rPr>
              <w:t>action</w:t>
            </w:r>
            <w:r>
              <w:t xml:space="preserve">.  Since </w:t>
            </w:r>
            <w:r>
              <w:rPr>
                <w:i/>
              </w:rPr>
              <w:t>negation rationale</w:t>
            </w:r>
            <w:r>
              <w:t xml:space="preserve"> represents “the reason that something did not occur or was not done”, it only makes sense in the context of </w:t>
            </w:r>
            <w:r>
              <w:rPr>
                <w:i/>
              </w:rPr>
              <w:t>actions</w:t>
            </w:r>
            <w:r>
              <w:t xml:space="preserve">.  Therefore, </w:t>
            </w:r>
            <w:r>
              <w:rPr>
                <w:i/>
              </w:rPr>
              <w:t xml:space="preserve">negation </w:t>
            </w:r>
            <w:r w:rsidRPr="00052BFD">
              <w:rPr>
                <w:i/>
              </w:rPr>
              <w:t>rationale</w:t>
            </w:r>
            <w:r>
              <w:t xml:space="preserve"> should be removed from all data types that do not represent actions, unless it is already in use in MU-2 measures.  </w:t>
            </w:r>
            <w:r w:rsidRPr="00052BFD">
              <w:t>The</w:t>
            </w:r>
            <w:r>
              <w:t xml:space="preserve"> UG agreed to this suggestion.</w:t>
            </w:r>
          </w:p>
          <w:p w14:paraId="2715A88C" w14:textId="77777777" w:rsidR="00052BFD" w:rsidRDefault="00052BFD" w:rsidP="00864E32">
            <w:pPr>
              <w:spacing w:before="0" w:after="0"/>
              <w:ind w:left="0"/>
            </w:pPr>
          </w:p>
          <w:p w14:paraId="4D4BE071" w14:textId="245402CF" w:rsidR="00864E32" w:rsidRDefault="00052BFD" w:rsidP="00864E32">
            <w:pPr>
              <w:spacing w:before="0" w:after="0"/>
              <w:ind w:left="0"/>
            </w:pPr>
            <w:r>
              <w:t xml:space="preserve">MITRE indicated it would review the data types and apply the suggestion regarding how </w:t>
            </w:r>
            <w:r>
              <w:rPr>
                <w:i/>
              </w:rPr>
              <w:t>negation rationale</w:t>
            </w:r>
            <w:r>
              <w:t xml:space="preserve"> should be applied.  MITRE will then bring this proposal to the MCCB.</w:t>
            </w:r>
          </w:p>
          <w:p w14:paraId="52E6D367" w14:textId="330D6DB9" w:rsidR="00864E32" w:rsidRPr="00864E32" w:rsidRDefault="00864E32" w:rsidP="00864E32">
            <w:pPr>
              <w:spacing w:before="0" w:after="0"/>
              <w:ind w:left="0"/>
            </w:pPr>
          </w:p>
        </w:tc>
      </w:tr>
    </w:tbl>
    <w:p w14:paraId="1C8FE9B2" w14:textId="1E9D71B3"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960"/>
      </w:tblGrid>
      <w:tr w:rsidR="003C5D9B" w:rsidRPr="00FE5B4F" w14:paraId="25B1773B" w14:textId="77777777" w:rsidTr="000A7D94">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96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0A7D94">
        <w:tc>
          <w:tcPr>
            <w:tcW w:w="10440" w:type="dxa"/>
          </w:tcPr>
          <w:p w14:paraId="6876EAAF" w14:textId="61666311" w:rsidR="00DA451F" w:rsidRPr="0058222F" w:rsidRDefault="0086456B" w:rsidP="00FE5B4F">
            <w:pPr>
              <w:spacing w:before="0" w:after="0"/>
              <w:ind w:left="0"/>
            </w:pPr>
            <w:r>
              <w:t>Present QDM-114, QDM-107, QDM-108, and QDM-109 to the MCCB for consideration.</w:t>
            </w:r>
          </w:p>
        </w:tc>
        <w:tc>
          <w:tcPr>
            <w:tcW w:w="3960" w:type="dxa"/>
          </w:tcPr>
          <w:p w14:paraId="351634CF" w14:textId="2FF36329" w:rsidR="00DA451F" w:rsidRDefault="0086456B" w:rsidP="00AF585A">
            <w:pPr>
              <w:spacing w:before="0" w:after="0"/>
              <w:ind w:left="0"/>
            </w:pPr>
            <w:r>
              <w:t>MITRE</w:t>
            </w:r>
          </w:p>
        </w:tc>
      </w:tr>
    </w:tbl>
    <w:p w14:paraId="5108B84A" w14:textId="77777777" w:rsidR="00D37F74" w:rsidRDefault="00D37F74" w:rsidP="00044534">
      <w:pPr>
        <w:spacing w:before="0" w:after="0"/>
        <w:ind w:left="0"/>
      </w:pPr>
    </w:p>
    <w:sectPr w:rsidR="00D37F74" w:rsidSect="000138D0">
      <w:footerReference w:type="even"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76626F" w:rsidRDefault="0076626F">
      <w:r>
        <w:separator/>
      </w:r>
    </w:p>
    <w:p w14:paraId="2994D740" w14:textId="77777777" w:rsidR="0076626F" w:rsidRDefault="0076626F"/>
    <w:p w14:paraId="4E128545" w14:textId="77777777" w:rsidR="0076626F" w:rsidRDefault="0076626F"/>
  </w:endnote>
  <w:endnote w:type="continuationSeparator" w:id="0">
    <w:p w14:paraId="18F2E1E3" w14:textId="77777777" w:rsidR="0076626F" w:rsidRDefault="0076626F">
      <w:r>
        <w:continuationSeparator/>
      </w:r>
    </w:p>
    <w:p w14:paraId="38D06D99" w14:textId="77777777" w:rsidR="0076626F" w:rsidRDefault="0076626F"/>
    <w:p w14:paraId="2F095FE6" w14:textId="77777777" w:rsidR="0076626F" w:rsidRDefault="00766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76626F" w:rsidRDefault="0076626F"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76626F" w:rsidRDefault="0076626F"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76626F" w:rsidRPr="00625C47" w:rsidRDefault="0076626F"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3C4CE6">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76626F" w:rsidRDefault="0076626F"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76626F" w:rsidRDefault="0076626F">
      <w:r>
        <w:separator/>
      </w:r>
    </w:p>
    <w:p w14:paraId="7714B3A4" w14:textId="77777777" w:rsidR="0076626F" w:rsidRDefault="0076626F"/>
    <w:p w14:paraId="703C88F2" w14:textId="77777777" w:rsidR="0076626F" w:rsidRDefault="0076626F"/>
  </w:footnote>
  <w:footnote w:type="continuationSeparator" w:id="0">
    <w:p w14:paraId="117429E0" w14:textId="77777777" w:rsidR="0076626F" w:rsidRDefault="0076626F">
      <w:r>
        <w:continuationSeparator/>
      </w:r>
    </w:p>
    <w:p w14:paraId="30773B03" w14:textId="77777777" w:rsidR="0076626F" w:rsidRDefault="0076626F"/>
    <w:p w14:paraId="691FA440" w14:textId="77777777" w:rsidR="0076626F" w:rsidRDefault="0076626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976DA8"/>
    <w:multiLevelType w:val="hybridMultilevel"/>
    <w:tmpl w:val="3B2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6">
    <w:nsid w:val="12585CCE"/>
    <w:multiLevelType w:val="hybridMultilevel"/>
    <w:tmpl w:val="205E20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16307378"/>
    <w:multiLevelType w:val="hybridMultilevel"/>
    <w:tmpl w:val="1062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19126A87"/>
    <w:multiLevelType w:val="hybridMultilevel"/>
    <w:tmpl w:val="FBE051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D4E4C"/>
    <w:multiLevelType w:val="hybridMultilevel"/>
    <w:tmpl w:val="160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0">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31">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BCF"/>
    <w:multiLevelType w:val="hybridMultilevel"/>
    <w:tmpl w:val="178224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753D6B00"/>
    <w:multiLevelType w:val="hybridMultilevel"/>
    <w:tmpl w:val="5F1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5"/>
  </w:num>
  <w:num w:numId="13">
    <w:abstractNumId w:val="23"/>
  </w:num>
  <w:num w:numId="14">
    <w:abstractNumId w:val="31"/>
  </w:num>
  <w:num w:numId="15">
    <w:abstractNumId w:val="20"/>
  </w:num>
  <w:num w:numId="16">
    <w:abstractNumId w:val="22"/>
  </w:num>
  <w:num w:numId="17">
    <w:abstractNumId w:val="43"/>
  </w:num>
  <w:num w:numId="18">
    <w:abstractNumId w:val="14"/>
  </w:num>
  <w:num w:numId="19">
    <w:abstractNumId w:val="47"/>
  </w:num>
  <w:num w:numId="20">
    <w:abstractNumId w:val="36"/>
  </w:num>
  <w:num w:numId="21">
    <w:abstractNumId w:val="44"/>
  </w:num>
  <w:num w:numId="22">
    <w:abstractNumId w:val="45"/>
  </w:num>
  <w:num w:numId="23">
    <w:abstractNumId w:val="49"/>
  </w:num>
  <w:num w:numId="24">
    <w:abstractNumId w:val="39"/>
  </w:num>
  <w:num w:numId="25">
    <w:abstractNumId w:val="19"/>
  </w:num>
  <w:num w:numId="26">
    <w:abstractNumId w:val="17"/>
  </w:num>
  <w:num w:numId="27">
    <w:abstractNumId w:val="28"/>
  </w:num>
  <w:num w:numId="28">
    <w:abstractNumId w:val="30"/>
  </w:num>
  <w:num w:numId="29">
    <w:abstractNumId w:val="32"/>
  </w:num>
  <w:num w:numId="30">
    <w:abstractNumId w:val="34"/>
  </w:num>
  <w:num w:numId="31">
    <w:abstractNumId w:val="15"/>
  </w:num>
  <w:num w:numId="32">
    <w:abstractNumId w:val="13"/>
  </w:num>
  <w:num w:numId="33">
    <w:abstractNumId w:val="33"/>
  </w:num>
  <w:num w:numId="34">
    <w:abstractNumId w:val="40"/>
  </w:num>
  <w:num w:numId="35">
    <w:abstractNumId w:val="10"/>
  </w:num>
  <w:num w:numId="36">
    <w:abstractNumId w:val="11"/>
  </w:num>
  <w:num w:numId="37">
    <w:abstractNumId w:val="46"/>
  </w:num>
  <w:num w:numId="38">
    <w:abstractNumId w:val="27"/>
  </w:num>
  <w:num w:numId="39">
    <w:abstractNumId w:val="38"/>
  </w:num>
  <w:num w:numId="40">
    <w:abstractNumId w:val="24"/>
  </w:num>
  <w:num w:numId="41">
    <w:abstractNumId w:val="37"/>
  </w:num>
  <w:num w:numId="42">
    <w:abstractNumId w:val="29"/>
  </w:num>
  <w:num w:numId="43">
    <w:abstractNumId w:val="25"/>
  </w:num>
  <w:num w:numId="44">
    <w:abstractNumId w:val="12"/>
  </w:num>
  <w:num w:numId="45">
    <w:abstractNumId w:val="26"/>
  </w:num>
  <w:num w:numId="46">
    <w:abstractNumId w:val="48"/>
  </w:num>
  <w:num w:numId="47">
    <w:abstractNumId w:val="18"/>
  </w:num>
  <w:num w:numId="48">
    <w:abstractNumId w:val="21"/>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148AE"/>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44534"/>
    <w:rsid w:val="000503CE"/>
    <w:rsid w:val="000515BD"/>
    <w:rsid w:val="00051D85"/>
    <w:rsid w:val="00052A94"/>
    <w:rsid w:val="00052BFD"/>
    <w:rsid w:val="000561D6"/>
    <w:rsid w:val="00060245"/>
    <w:rsid w:val="000640D0"/>
    <w:rsid w:val="00064824"/>
    <w:rsid w:val="000709FF"/>
    <w:rsid w:val="00070D45"/>
    <w:rsid w:val="00071029"/>
    <w:rsid w:val="00071574"/>
    <w:rsid w:val="00074242"/>
    <w:rsid w:val="00074558"/>
    <w:rsid w:val="0007715F"/>
    <w:rsid w:val="000777C3"/>
    <w:rsid w:val="000820F6"/>
    <w:rsid w:val="00082EA8"/>
    <w:rsid w:val="000853F8"/>
    <w:rsid w:val="00087002"/>
    <w:rsid w:val="00087E1F"/>
    <w:rsid w:val="00090B09"/>
    <w:rsid w:val="00090FF3"/>
    <w:rsid w:val="00091EB1"/>
    <w:rsid w:val="00091F94"/>
    <w:rsid w:val="00092EBB"/>
    <w:rsid w:val="0009316F"/>
    <w:rsid w:val="000A1524"/>
    <w:rsid w:val="000A1B7D"/>
    <w:rsid w:val="000A25A9"/>
    <w:rsid w:val="000A2ECD"/>
    <w:rsid w:val="000A38A5"/>
    <w:rsid w:val="000A4D5F"/>
    <w:rsid w:val="000A7286"/>
    <w:rsid w:val="000A7D94"/>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0F7655"/>
    <w:rsid w:val="001045FF"/>
    <w:rsid w:val="001048FB"/>
    <w:rsid w:val="001067F4"/>
    <w:rsid w:val="00106A2D"/>
    <w:rsid w:val="0010744B"/>
    <w:rsid w:val="00107D25"/>
    <w:rsid w:val="00110F6E"/>
    <w:rsid w:val="001128B4"/>
    <w:rsid w:val="00112F50"/>
    <w:rsid w:val="00116143"/>
    <w:rsid w:val="0012132B"/>
    <w:rsid w:val="001234C5"/>
    <w:rsid w:val="001245D1"/>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7078"/>
    <w:rsid w:val="001C70AC"/>
    <w:rsid w:val="001D043D"/>
    <w:rsid w:val="001D0DC0"/>
    <w:rsid w:val="001D0E52"/>
    <w:rsid w:val="001D53C4"/>
    <w:rsid w:val="001D54DD"/>
    <w:rsid w:val="001D75B0"/>
    <w:rsid w:val="001E3656"/>
    <w:rsid w:val="001E5CA7"/>
    <w:rsid w:val="001E6268"/>
    <w:rsid w:val="001E6A45"/>
    <w:rsid w:val="001F49DD"/>
    <w:rsid w:val="001F4A68"/>
    <w:rsid w:val="001F56EA"/>
    <w:rsid w:val="001F675C"/>
    <w:rsid w:val="001F7DB1"/>
    <w:rsid w:val="00200302"/>
    <w:rsid w:val="002003BB"/>
    <w:rsid w:val="00200F44"/>
    <w:rsid w:val="0020251F"/>
    <w:rsid w:val="002029F3"/>
    <w:rsid w:val="00203A7B"/>
    <w:rsid w:val="00210DAE"/>
    <w:rsid w:val="00212750"/>
    <w:rsid w:val="00212E4E"/>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4EB9"/>
    <w:rsid w:val="00246915"/>
    <w:rsid w:val="00246940"/>
    <w:rsid w:val="00246E00"/>
    <w:rsid w:val="0025149B"/>
    <w:rsid w:val="00251D6C"/>
    <w:rsid w:val="0025476D"/>
    <w:rsid w:val="00255BD3"/>
    <w:rsid w:val="00257325"/>
    <w:rsid w:val="00257765"/>
    <w:rsid w:val="00257C1A"/>
    <w:rsid w:val="00262558"/>
    <w:rsid w:val="00262E08"/>
    <w:rsid w:val="00264FEF"/>
    <w:rsid w:val="002662CA"/>
    <w:rsid w:val="00266E95"/>
    <w:rsid w:val="00270C11"/>
    <w:rsid w:val="00274EA7"/>
    <w:rsid w:val="0027548F"/>
    <w:rsid w:val="0027566D"/>
    <w:rsid w:val="00275AE9"/>
    <w:rsid w:val="00277631"/>
    <w:rsid w:val="002836A2"/>
    <w:rsid w:val="002859DC"/>
    <w:rsid w:val="002945E4"/>
    <w:rsid w:val="002947D8"/>
    <w:rsid w:val="002958DC"/>
    <w:rsid w:val="00296732"/>
    <w:rsid w:val="0029680E"/>
    <w:rsid w:val="002A01C3"/>
    <w:rsid w:val="002A2FD3"/>
    <w:rsid w:val="002A3C68"/>
    <w:rsid w:val="002A4B46"/>
    <w:rsid w:val="002B2B77"/>
    <w:rsid w:val="002B3102"/>
    <w:rsid w:val="002B31B0"/>
    <w:rsid w:val="002C0111"/>
    <w:rsid w:val="002C0A3B"/>
    <w:rsid w:val="002C17B2"/>
    <w:rsid w:val="002C2D35"/>
    <w:rsid w:val="002C5221"/>
    <w:rsid w:val="002D2F0A"/>
    <w:rsid w:val="002D3020"/>
    <w:rsid w:val="002D4911"/>
    <w:rsid w:val="002D65E3"/>
    <w:rsid w:val="002D7924"/>
    <w:rsid w:val="002D7968"/>
    <w:rsid w:val="002E0BBE"/>
    <w:rsid w:val="002E6C4F"/>
    <w:rsid w:val="002F188A"/>
    <w:rsid w:val="002F19D9"/>
    <w:rsid w:val="003006BD"/>
    <w:rsid w:val="00302502"/>
    <w:rsid w:val="00303948"/>
    <w:rsid w:val="003048A0"/>
    <w:rsid w:val="00307A50"/>
    <w:rsid w:val="0031023F"/>
    <w:rsid w:val="0031145B"/>
    <w:rsid w:val="00313351"/>
    <w:rsid w:val="003133A5"/>
    <w:rsid w:val="0031456C"/>
    <w:rsid w:val="00320A0A"/>
    <w:rsid w:val="00322479"/>
    <w:rsid w:val="00324D9A"/>
    <w:rsid w:val="00325106"/>
    <w:rsid w:val="003263FD"/>
    <w:rsid w:val="00326E9B"/>
    <w:rsid w:val="00327821"/>
    <w:rsid w:val="00330995"/>
    <w:rsid w:val="00331616"/>
    <w:rsid w:val="00331AD3"/>
    <w:rsid w:val="003338F7"/>
    <w:rsid w:val="003345D1"/>
    <w:rsid w:val="00337963"/>
    <w:rsid w:val="00341AF3"/>
    <w:rsid w:val="00342ECF"/>
    <w:rsid w:val="00342F3D"/>
    <w:rsid w:val="00344ABF"/>
    <w:rsid w:val="003453EF"/>
    <w:rsid w:val="003456A9"/>
    <w:rsid w:val="00346964"/>
    <w:rsid w:val="003473D9"/>
    <w:rsid w:val="003506C0"/>
    <w:rsid w:val="00351961"/>
    <w:rsid w:val="00353657"/>
    <w:rsid w:val="00353F75"/>
    <w:rsid w:val="00354C88"/>
    <w:rsid w:val="003557D0"/>
    <w:rsid w:val="00356DEF"/>
    <w:rsid w:val="003624B6"/>
    <w:rsid w:val="003635A1"/>
    <w:rsid w:val="00363C57"/>
    <w:rsid w:val="00363DD0"/>
    <w:rsid w:val="003653D3"/>
    <w:rsid w:val="00366CCF"/>
    <w:rsid w:val="00372FD2"/>
    <w:rsid w:val="003734DB"/>
    <w:rsid w:val="00375094"/>
    <w:rsid w:val="00375D90"/>
    <w:rsid w:val="0037665B"/>
    <w:rsid w:val="00380477"/>
    <w:rsid w:val="00385CDC"/>
    <w:rsid w:val="0038629F"/>
    <w:rsid w:val="00386529"/>
    <w:rsid w:val="003935B2"/>
    <w:rsid w:val="003945BD"/>
    <w:rsid w:val="00395AE4"/>
    <w:rsid w:val="003966A3"/>
    <w:rsid w:val="003A2B47"/>
    <w:rsid w:val="003A4738"/>
    <w:rsid w:val="003B0BE6"/>
    <w:rsid w:val="003B45F3"/>
    <w:rsid w:val="003B6064"/>
    <w:rsid w:val="003B6A51"/>
    <w:rsid w:val="003B7040"/>
    <w:rsid w:val="003B7A34"/>
    <w:rsid w:val="003C2515"/>
    <w:rsid w:val="003C4CE6"/>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665D"/>
    <w:rsid w:val="00407930"/>
    <w:rsid w:val="00407AF4"/>
    <w:rsid w:val="004113A4"/>
    <w:rsid w:val="00414A8D"/>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4C8E"/>
    <w:rsid w:val="004854A4"/>
    <w:rsid w:val="0048590B"/>
    <w:rsid w:val="004879C2"/>
    <w:rsid w:val="00487AEC"/>
    <w:rsid w:val="00493F44"/>
    <w:rsid w:val="004941E3"/>
    <w:rsid w:val="00494625"/>
    <w:rsid w:val="004949E7"/>
    <w:rsid w:val="004951E6"/>
    <w:rsid w:val="0049549D"/>
    <w:rsid w:val="00496376"/>
    <w:rsid w:val="00497773"/>
    <w:rsid w:val="004A0456"/>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7193"/>
    <w:rsid w:val="004D22FF"/>
    <w:rsid w:val="004D288B"/>
    <w:rsid w:val="004D3A0B"/>
    <w:rsid w:val="004D476A"/>
    <w:rsid w:val="004D58D8"/>
    <w:rsid w:val="004E0201"/>
    <w:rsid w:val="004E055C"/>
    <w:rsid w:val="004E1509"/>
    <w:rsid w:val="004E326D"/>
    <w:rsid w:val="004E639D"/>
    <w:rsid w:val="004E7B80"/>
    <w:rsid w:val="004F0911"/>
    <w:rsid w:val="004F0D91"/>
    <w:rsid w:val="004F3C01"/>
    <w:rsid w:val="004F572C"/>
    <w:rsid w:val="004F5785"/>
    <w:rsid w:val="004F61A3"/>
    <w:rsid w:val="00502396"/>
    <w:rsid w:val="00503B7C"/>
    <w:rsid w:val="0050575E"/>
    <w:rsid w:val="00505CB1"/>
    <w:rsid w:val="00510D51"/>
    <w:rsid w:val="005178F1"/>
    <w:rsid w:val="00531C37"/>
    <w:rsid w:val="005326DF"/>
    <w:rsid w:val="0053286A"/>
    <w:rsid w:val="00533AFA"/>
    <w:rsid w:val="00537EB8"/>
    <w:rsid w:val="005411A2"/>
    <w:rsid w:val="00543700"/>
    <w:rsid w:val="00544712"/>
    <w:rsid w:val="00547023"/>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3A04"/>
    <w:rsid w:val="005765A1"/>
    <w:rsid w:val="00576F5D"/>
    <w:rsid w:val="0058222F"/>
    <w:rsid w:val="005842C5"/>
    <w:rsid w:val="0058765E"/>
    <w:rsid w:val="00590CAA"/>
    <w:rsid w:val="00593519"/>
    <w:rsid w:val="00593DE5"/>
    <w:rsid w:val="00594290"/>
    <w:rsid w:val="00594443"/>
    <w:rsid w:val="00597255"/>
    <w:rsid w:val="00597795"/>
    <w:rsid w:val="005A2206"/>
    <w:rsid w:val="005A234C"/>
    <w:rsid w:val="005A5F32"/>
    <w:rsid w:val="005A6103"/>
    <w:rsid w:val="005A7D68"/>
    <w:rsid w:val="005B259D"/>
    <w:rsid w:val="005B4DF6"/>
    <w:rsid w:val="005B56B0"/>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6EF"/>
    <w:rsid w:val="005E6799"/>
    <w:rsid w:val="005F474A"/>
    <w:rsid w:val="005F4C49"/>
    <w:rsid w:val="005F5708"/>
    <w:rsid w:val="006007C2"/>
    <w:rsid w:val="0060329E"/>
    <w:rsid w:val="00607E75"/>
    <w:rsid w:val="00610CBE"/>
    <w:rsid w:val="00612F73"/>
    <w:rsid w:val="0061413D"/>
    <w:rsid w:val="00614AFE"/>
    <w:rsid w:val="00617468"/>
    <w:rsid w:val="0061769F"/>
    <w:rsid w:val="006179BC"/>
    <w:rsid w:val="00617A4D"/>
    <w:rsid w:val="0062160F"/>
    <w:rsid w:val="0062245F"/>
    <w:rsid w:val="00623F3A"/>
    <w:rsid w:val="00625C47"/>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72F2"/>
    <w:rsid w:val="006600DC"/>
    <w:rsid w:val="00661A06"/>
    <w:rsid w:val="006647FD"/>
    <w:rsid w:val="00664C6A"/>
    <w:rsid w:val="0066596C"/>
    <w:rsid w:val="00667787"/>
    <w:rsid w:val="00667F5D"/>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966"/>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63E5"/>
    <w:rsid w:val="006F687A"/>
    <w:rsid w:val="006F7205"/>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5F43"/>
    <w:rsid w:val="00736B8C"/>
    <w:rsid w:val="007407DB"/>
    <w:rsid w:val="00743373"/>
    <w:rsid w:val="007436F7"/>
    <w:rsid w:val="00744B08"/>
    <w:rsid w:val="007461BA"/>
    <w:rsid w:val="00746650"/>
    <w:rsid w:val="007470AD"/>
    <w:rsid w:val="00747E8B"/>
    <w:rsid w:val="00750110"/>
    <w:rsid w:val="00750794"/>
    <w:rsid w:val="007519C7"/>
    <w:rsid w:val="007536D8"/>
    <w:rsid w:val="00753B63"/>
    <w:rsid w:val="00753DDD"/>
    <w:rsid w:val="00757439"/>
    <w:rsid w:val="00757B5F"/>
    <w:rsid w:val="00761110"/>
    <w:rsid w:val="00761E12"/>
    <w:rsid w:val="007642CF"/>
    <w:rsid w:val="0076626F"/>
    <w:rsid w:val="00766759"/>
    <w:rsid w:val="007707AD"/>
    <w:rsid w:val="00770E54"/>
    <w:rsid w:val="00771B96"/>
    <w:rsid w:val="00773601"/>
    <w:rsid w:val="00777091"/>
    <w:rsid w:val="0077714C"/>
    <w:rsid w:val="007776AC"/>
    <w:rsid w:val="00777E5A"/>
    <w:rsid w:val="00780BD1"/>
    <w:rsid w:val="00781A63"/>
    <w:rsid w:val="00782D3E"/>
    <w:rsid w:val="00783D00"/>
    <w:rsid w:val="007859CD"/>
    <w:rsid w:val="0079008B"/>
    <w:rsid w:val="007905DB"/>
    <w:rsid w:val="0079246B"/>
    <w:rsid w:val="00792D78"/>
    <w:rsid w:val="007932E9"/>
    <w:rsid w:val="007959BA"/>
    <w:rsid w:val="007A25BB"/>
    <w:rsid w:val="007A34A2"/>
    <w:rsid w:val="007A5CC8"/>
    <w:rsid w:val="007A62BC"/>
    <w:rsid w:val="007B0106"/>
    <w:rsid w:val="007B1BD8"/>
    <w:rsid w:val="007C0E75"/>
    <w:rsid w:val="007C2E17"/>
    <w:rsid w:val="007C414E"/>
    <w:rsid w:val="007C680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686E"/>
    <w:rsid w:val="008209AC"/>
    <w:rsid w:val="00822569"/>
    <w:rsid w:val="00823427"/>
    <w:rsid w:val="0082360C"/>
    <w:rsid w:val="00825A97"/>
    <w:rsid w:val="008302C9"/>
    <w:rsid w:val="008309B4"/>
    <w:rsid w:val="00834F24"/>
    <w:rsid w:val="008362D5"/>
    <w:rsid w:val="008408B1"/>
    <w:rsid w:val="008435FF"/>
    <w:rsid w:val="00843693"/>
    <w:rsid w:val="008443BC"/>
    <w:rsid w:val="00844A61"/>
    <w:rsid w:val="008508F4"/>
    <w:rsid w:val="008528A1"/>
    <w:rsid w:val="00853A12"/>
    <w:rsid w:val="0085781B"/>
    <w:rsid w:val="0086456B"/>
    <w:rsid w:val="008648E4"/>
    <w:rsid w:val="00864E32"/>
    <w:rsid w:val="008654D2"/>
    <w:rsid w:val="00870549"/>
    <w:rsid w:val="008721D0"/>
    <w:rsid w:val="00872466"/>
    <w:rsid w:val="00872F9B"/>
    <w:rsid w:val="00877239"/>
    <w:rsid w:val="00877B5D"/>
    <w:rsid w:val="0088132E"/>
    <w:rsid w:val="00881870"/>
    <w:rsid w:val="00881A98"/>
    <w:rsid w:val="00882182"/>
    <w:rsid w:val="0088680A"/>
    <w:rsid w:val="008871D8"/>
    <w:rsid w:val="0089098A"/>
    <w:rsid w:val="00892526"/>
    <w:rsid w:val="00892843"/>
    <w:rsid w:val="00892EC5"/>
    <w:rsid w:val="00893111"/>
    <w:rsid w:val="008A09FB"/>
    <w:rsid w:val="008A3CDD"/>
    <w:rsid w:val="008A4B7E"/>
    <w:rsid w:val="008A4D10"/>
    <w:rsid w:val="008A7C49"/>
    <w:rsid w:val="008B080F"/>
    <w:rsid w:val="008B1FAC"/>
    <w:rsid w:val="008B2C07"/>
    <w:rsid w:val="008B34F4"/>
    <w:rsid w:val="008B40CC"/>
    <w:rsid w:val="008B56AC"/>
    <w:rsid w:val="008B6E21"/>
    <w:rsid w:val="008B7EAD"/>
    <w:rsid w:val="008C1373"/>
    <w:rsid w:val="008C264D"/>
    <w:rsid w:val="008C3037"/>
    <w:rsid w:val="008C4689"/>
    <w:rsid w:val="008C4E66"/>
    <w:rsid w:val="008C77D3"/>
    <w:rsid w:val="008C79FF"/>
    <w:rsid w:val="008D661A"/>
    <w:rsid w:val="008D6DFA"/>
    <w:rsid w:val="008E4193"/>
    <w:rsid w:val="008E59FE"/>
    <w:rsid w:val="008E5F6D"/>
    <w:rsid w:val="008E6177"/>
    <w:rsid w:val="008F2043"/>
    <w:rsid w:val="008F3C52"/>
    <w:rsid w:val="008F4D79"/>
    <w:rsid w:val="008F5158"/>
    <w:rsid w:val="009005AE"/>
    <w:rsid w:val="00900D7C"/>
    <w:rsid w:val="00901313"/>
    <w:rsid w:val="00904BBD"/>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2E7"/>
    <w:rsid w:val="00943431"/>
    <w:rsid w:val="009438B9"/>
    <w:rsid w:val="00946D18"/>
    <w:rsid w:val="00950CAD"/>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C214D"/>
    <w:rsid w:val="009C39DE"/>
    <w:rsid w:val="009C3C13"/>
    <w:rsid w:val="009C3DA5"/>
    <w:rsid w:val="009C64C0"/>
    <w:rsid w:val="009D088C"/>
    <w:rsid w:val="009D0DA8"/>
    <w:rsid w:val="009D2FC3"/>
    <w:rsid w:val="009D2FD5"/>
    <w:rsid w:val="009D38F3"/>
    <w:rsid w:val="009D4B7F"/>
    <w:rsid w:val="009D732A"/>
    <w:rsid w:val="009D7475"/>
    <w:rsid w:val="009E089B"/>
    <w:rsid w:val="009E0C83"/>
    <w:rsid w:val="009E2B9A"/>
    <w:rsid w:val="009E380F"/>
    <w:rsid w:val="009E4FFC"/>
    <w:rsid w:val="009F0533"/>
    <w:rsid w:val="009F083A"/>
    <w:rsid w:val="009F0A41"/>
    <w:rsid w:val="009F173A"/>
    <w:rsid w:val="009F1B18"/>
    <w:rsid w:val="009F2163"/>
    <w:rsid w:val="00A000F9"/>
    <w:rsid w:val="00A01F55"/>
    <w:rsid w:val="00A01F99"/>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0DE"/>
    <w:rsid w:val="00A27C53"/>
    <w:rsid w:val="00A30BEF"/>
    <w:rsid w:val="00A32016"/>
    <w:rsid w:val="00A3444A"/>
    <w:rsid w:val="00A35CED"/>
    <w:rsid w:val="00A37B64"/>
    <w:rsid w:val="00A42BFE"/>
    <w:rsid w:val="00A43089"/>
    <w:rsid w:val="00A442CB"/>
    <w:rsid w:val="00A46267"/>
    <w:rsid w:val="00A46C30"/>
    <w:rsid w:val="00A475DD"/>
    <w:rsid w:val="00A52B0E"/>
    <w:rsid w:val="00A53B21"/>
    <w:rsid w:val="00A54E65"/>
    <w:rsid w:val="00A557A2"/>
    <w:rsid w:val="00A57D00"/>
    <w:rsid w:val="00A6405B"/>
    <w:rsid w:val="00A70253"/>
    <w:rsid w:val="00A702ED"/>
    <w:rsid w:val="00A707B3"/>
    <w:rsid w:val="00A714C9"/>
    <w:rsid w:val="00A71D06"/>
    <w:rsid w:val="00A72748"/>
    <w:rsid w:val="00A73473"/>
    <w:rsid w:val="00A736C2"/>
    <w:rsid w:val="00A74ED9"/>
    <w:rsid w:val="00A77699"/>
    <w:rsid w:val="00A85B88"/>
    <w:rsid w:val="00A9256B"/>
    <w:rsid w:val="00A9579E"/>
    <w:rsid w:val="00A95956"/>
    <w:rsid w:val="00A95BD2"/>
    <w:rsid w:val="00A96A3D"/>
    <w:rsid w:val="00AA2399"/>
    <w:rsid w:val="00AA5D41"/>
    <w:rsid w:val="00AB1002"/>
    <w:rsid w:val="00AB2B1F"/>
    <w:rsid w:val="00AB529E"/>
    <w:rsid w:val="00AC1DF4"/>
    <w:rsid w:val="00AC55F8"/>
    <w:rsid w:val="00AC729B"/>
    <w:rsid w:val="00AC7488"/>
    <w:rsid w:val="00AC7C35"/>
    <w:rsid w:val="00AD1647"/>
    <w:rsid w:val="00AD23DE"/>
    <w:rsid w:val="00AD5413"/>
    <w:rsid w:val="00AD5896"/>
    <w:rsid w:val="00AD5BE7"/>
    <w:rsid w:val="00AD739E"/>
    <w:rsid w:val="00AE086C"/>
    <w:rsid w:val="00AE39A1"/>
    <w:rsid w:val="00AE56DF"/>
    <w:rsid w:val="00AE5851"/>
    <w:rsid w:val="00AE5C3A"/>
    <w:rsid w:val="00AF1887"/>
    <w:rsid w:val="00AF237F"/>
    <w:rsid w:val="00AF34BB"/>
    <w:rsid w:val="00AF496C"/>
    <w:rsid w:val="00AF4E56"/>
    <w:rsid w:val="00AF585A"/>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240C"/>
    <w:rsid w:val="00B63449"/>
    <w:rsid w:val="00B63B6C"/>
    <w:rsid w:val="00B64486"/>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3DB9"/>
    <w:rsid w:val="00BA57D3"/>
    <w:rsid w:val="00BA5B09"/>
    <w:rsid w:val="00BB0EAE"/>
    <w:rsid w:val="00BB3155"/>
    <w:rsid w:val="00BB660D"/>
    <w:rsid w:val="00BC349F"/>
    <w:rsid w:val="00BC68F7"/>
    <w:rsid w:val="00BC6A29"/>
    <w:rsid w:val="00BC71FE"/>
    <w:rsid w:val="00BD0579"/>
    <w:rsid w:val="00BD19CB"/>
    <w:rsid w:val="00BD315F"/>
    <w:rsid w:val="00BD55AA"/>
    <w:rsid w:val="00BD66EF"/>
    <w:rsid w:val="00BD72E2"/>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17E0C"/>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4561"/>
    <w:rsid w:val="00C55E8C"/>
    <w:rsid w:val="00C60980"/>
    <w:rsid w:val="00C60BB8"/>
    <w:rsid w:val="00C6243C"/>
    <w:rsid w:val="00C65344"/>
    <w:rsid w:val="00C65801"/>
    <w:rsid w:val="00C67768"/>
    <w:rsid w:val="00C703EE"/>
    <w:rsid w:val="00C705AE"/>
    <w:rsid w:val="00C73F94"/>
    <w:rsid w:val="00C74210"/>
    <w:rsid w:val="00C75E65"/>
    <w:rsid w:val="00C768CE"/>
    <w:rsid w:val="00C80B6D"/>
    <w:rsid w:val="00C8165A"/>
    <w:rsid w:val="00C85ACF"/>
    <w:rsid w:val="00C901D2"/>
    <w:rsid w:val="00C918C8"/>
    <w:rsid w:val="00C92526"/>
    <w:rsid w:val="00C93C65"/>
    <w:rsid w:val="00C96BE3"/>
    <w:rsid w:val="00CA1451"/>
    <w:rsid w:val="00CA20FA"/>
    <w:rsid w:val="00CA284C"/>
    <w:rsid w:val="00CA2ADC"/>
    <w:rsid w:val="00CA30E7"/>
    <w:rsid w:val="00CA5FDD"/>
    <w:rsid w:val="00CA7DB4"/>
    <w:rsid w:val="00CB058B"/>
    <w:rsid w:val="00CB1193"/>
    <w:rsid w:val="00CB187F"/>
    <w:rsid w:val="00CB1F68"/>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37F74"/>
    <w:rsid w:val="00D4084E"/>
    <w:rsid w:val="00D4140A"/>
    <w:rsid w:val="00D41C71"/>
    <w:rsid w:val="00D42D92"/>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329"/>
    <w:rsid w:val="00DC0A2A"/>
    <w:rsid w:val="00DC2C3A"/>
    <w:rsid w:val="00DC30D5"/>
    <w:rsid w:val="00DC31D3"/>
    <w:rsid w:val="00DC7A35"/>
    <w:rsid w:val="00DD2CE2"/>
    <w:rsid w:val="00DD3763"/>
    <w:rsid w:val="00DD3E28"/>
    <w:rsid w:val="00DE0171"/>
    <w:rsid w:val="00DE1FE1"/>
    <w:rsid w:val="00DE2A4A"/>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2182"/>
    <w:rsid w:val="00E23898"/>
    <w:rsid w:val="00E23997"/>
    <w:rsid w:val="00E26A0A"/>
    <w:rsid w:val="00E272B2"/>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56A"/>
    <w:rsid w:val="00E73D34"/>
    <w:rsid w:val="00E80F8D"/>
    <w:rsid w:val="00E81997"/>
    <w:rsid w:val="00E835A4"/>
    <w:rsid w:val="00E849D2"/>
    <w:rsid w:val="00E869D1"/>
    <w:rsid w:val="00E91CFC"/>
    <w:rsid w:val="00E931D5"/>
    <w:rsid w:val="00E940ED"/>
    <w:rsid w:val="00E955C8"/>
    <w:rsid w:val="00EA2A72"/>
    <w:rsid w:val="00EA380B"/>
    <w:rsid w:val="00EA381D"/>
    <w:rsid w:val="00EA5A2C"/>
    <w:rsid w:val="00EA5A53"/>
    <w:rsid w:val="00EB0A77"/>
    <w:rsid w:val="00EB4E3B"/>
    <w:rsid w:val="00EC0224"/>
    <w:rsid w:val="00EC51EA"/>
    <w:rsid w:val="00EC6867"/>
    <w:rsid w:val="00EC773E"/>
    <w:rsid w:val="00EC79F6"/>
    <w:rsid w:val="00ED426E"/>
    <w:rsid w:val="00ED59A3"/>
    <w:rsid w:val="00ED5ECF"/>
    <w:rsid w:val="00ED60A7"/>
    <w:rsid w:val="00EE62E7"/>
    <w:rsid w:val="00EE6465"/>
    <w:rsid w:val="00EE72C0"/>
    <w:rsid w:val="00EF19B1"/>
    <w:rsid w:val="00EF1A88"/>
    <w:rsid w:val="00EF2CDE"/>
    <w:rsid w:val="00EF4D0C"/>
    <w:rsid w:val="00EF694F"/>
    <w:rsid w:val="00F0107E"/>
    <w:rsid w:val="00F026FE"/>
    <w:rsid w:val="00F0564B"/>
    <w:rsid w:val="00F10844"/>
    <w:rsid w:val="00F1128A"/>
    <w:rsid w:val="00F13086"/>
    <w:rsid w:val="00F13088"/>
    <w:rsid w:val="00F1319A"/>
    <w:rsid w:val="00F1404C"/>
    <w:rsid w:val="00F166B1"/>
    <w:rsid w:val="00F1670C"/>
    <w:rsid w:val="00F16B85"/>
    <w:rsid w:val="00F2017E"/>
    <w:rsid w:val="00F204A2"/>
    <w:rsid w:val="00F20BA7"/>
    <w:rsid w:val="00F213E6"/>
    <w:rsid w:val="00F2198A"/>
    <w:rsid w:val="00F21C64"/>
    <w:rsid w:val="00F21FF1"/>
    <w:rsid w:val="00F226AE"/>
    <w:rsid w:val="00F2312C"/>
    <w:rsid w:val="00F238A3"/>
    <w:rsid w:val="00F23DA1"/>
    <w:rsid w:val="00F23F61"/>
    <w:rsid w:val="00F24DC4"/>
    <w:rsid w:val="00F27E4E"/>
    <w:rsid w:val="00F321DD"/>
    <w:rsid w:val="00F352C2"/>
    <w:rsid w:val="00F37A92"/>
    <w:rsid w:val="00F403F4"/>
    <w:rsid w:val="00F410D9"/>
    <w:rsid w:val="00F44EB1"/>
    <w:rsid w:val="00F4635D"/>
    <w:rsid w:val="00F470E4"/>
    <w:rsid w:val="00F5400A"/>
    <w:rsid w:val="00F55264"/>
    <w:rsid w:val="00F56B1E"/>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A3A"/>
    <w:rsid w:val="00F90B91"/>
    <w:rsid w:val="00F95A1E"/>
    <w:rsid w:val="00F9618F"/>
    <w:rsid w:val="00F9724E"/>
    <w:rsid w:val="00FA1417"/>
    <w:rsid w:val="00FA177F"/>
    <w:rsid w:val="00FA1ECF"/>
    <w:rsid w:val="00FA32D5"/>
    <w:rsid w:val="00FA32F5"/>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14" TargetMode="External"/><Relationship Id="rId14" Type="http://schemas.openxmlformats.org/officeDocument/2006/relationships/hyperlink" Target="https://jira.oncprojectracking.org/browse/QDM-107" TargetMode="External"/><Relationship Id="rId15" Type="http://schemas.openxmlformats.org/officeDocument/2006/relationships/hyperlink" Target="https://jira.oncprojectracking.org/browse/QDM-108" TargetMode="External"/><Relationship Id="rId16" Type="http://schemas.openxmlformats.org/officeDocument/2006/relationships/hyperlink" Target="https://jira.oncprojectracking.org/browse/QDM-109"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42409"/>
    <w:rsid w:val="000B6721"/>
    <w:rsid w:val="000E2F57"/>
    <w:rsid w:val="00131533"/>
    <w:rsid w:val="00142B17"/>
    <w:rsid w:val="001C41E1"/>
    <w:rsid w:val="001E762D"/>
    <w:rsid w:val="002219D7"/>
    <w:rsid w:val="002504D8"/>
    <w:rsid w:val="002A07C7"/>
    <w:rsid w:val="00352DA7"/>
    <w:rsid w:val="00386DA0"/>
    <w:rsid w:val="003976E7"/>
    <w:rsid w:val="003C6DAA"/>
    <w:rsid w:val="003D5826"/>
    <w:rsid w:val="00411155"/>
    <w:rsid w:val="0041295B"/>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B2C24"/>
    <w:rsid w:val="00A531BF"/>
    <w:rsid w:val="00A865C4"/>
    <w:rsid w:val="00A9549D"/>
    <w:rsid w:val="00A9593C"/>
    <w:rsid w:val="00AB033F"/>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95136"/>
    <w:rsid w:val="00EC6A3C"/>
    <w:rsid w:val="00ED3A26"/>
    <w:rsid w:val="00F15594"/>
    <w:rsid w:val="00F170EB"/>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2464C0D4-4388-3F4E-ABF1-9317D252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4</TotalTime>
  <Pages>4</Pages>
  <Words>1328</Words>
  <Characters>7573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Balu Balasubramanyam</cp:lastModifiedBy>
  <cp:revision>5</cp:revision>
  <cp:lastPrinted>2014-12-17T18:48:00Z</cp:lastPrinted>
  <dcterms:created xsi:type="dcterms:W3CDTF">2015-06-01T16:32:00Z</dcterms:created>
  <dcterms:modified xsi:type="dcterms:W3CDTF">2015-06-01T16:50:00Z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