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5C6E0B4F" w14:textId="23576BF4" w:rsidR="002D7968" w:rsidRDefault="004A1E1C" w:rsidP="00DA451F">
      <w:pPr>
        <w:pStyle w:val="Subtitle"/>
        <w:rPr>
          <w:rStyle w:val="Hyperlink"/>
          <w:rFonts w:ascii="Calibri" w:hAnsi="Calibri" w:cstheme="majorBidi"/>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03-18T14:30:00Z">
            <w:dateFormat w:val="M/d/yyyy h:mm am/pm"/>
            <w:lid w:val="en-US"/>
            <w:storeMappedDataAs w:val="dateTime"/>
            <w:calendar w:val="gregorian"/>
          </w:date>
        </w:sdtPr>
        <w:sdtEndPr>
          <w:rPr>
            <w:rStyle w:val="DefaultParagraphFont"/>
            <w:i w:val="0"/>
            <w:iCs w:val="0"/>
          </w:rPr>
        </w:sdtEndPr>
        <w:sdtContent>
          <w:r w:rsidR="00DA451F">
            <w:rPr>
              <w:rStyle w:val="SubtleEmphasis"/>
              <w:rFonts w:ascii="Calibri" w:hAnsi="Calibri"/>
              <w:color w:val="000000" w:themeColor="text1"/>
              <w:sz w:val="20"/>
              <w:szCs w:val="20"/>
            </w:rPr>
            <w:t>3/18/2015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https://www4.gotomeeting.com/register/303510935</w:t>
            </w:r>
          </w:hyperlink>
        </w:sdtContent>
      </w:sdt>
    </w:p>
    <w:p w14:paraId="22745D93" w14:textId="6F328D54" w:rsidR="00771B96" w:rsidRPr="002D7968" w:rsidRDefault="002D7968" w:rsidP="002D7968">
      <w:r>
        <w:rPr>
          <w:rFonts w:ascii="Calibri" w:eastAsiaTheme="majorEastAsia" w:hAnsi="Calibri" w:cstheme="majorBidi"/>
          <w:color w:val="14415C" w:themeColor="accent3" w:themeShade="BF"/>
          <w:spacing w:val="15"/>
          <w:sz w:val="20"/>
          <w:szCs w:val="20"/>
        </w:rPr>
        <w:t>Attendees:</w:t>
      </w:r>
      <w:r w:rsidR="00B324DD">
        <w:rPr>
          <w:rFonts w:ascii="Calibri" w:eastAsiaTheme="majorEastAsia" w:hAnsi="Calibri" w:cstheme="majorBidi"/>
          <w:color w:val="14415C" w:themeColor="accent3" w:themeShade="BF"/>
          <w:spacing w:val="15"/>
          <w:sz w:val="20"/>
          <w:szCs w:val="20"/>
        </w:rPr>
        <w:t xml:space="preserve"> </w:t>
      </w:r>
      <w:r w:rsidR="00B324DD" w:rsidRPr="00B324DD">
        <w:t>Yvette Apura, Balu Balasubramanyam, Dharaneesh Bommireddypalli, Elizabeth Bostrom, Howard Bregman, Zahid Butt, John Carroll, Anne Coultas, David Czulada, Michelle Dardis, Karen Eberhardt, Jeffrey Geppert, Ben Hamlin, Jen Harper, Michelle Hinterberg, Yanyan Hu, Ping Jiang, Jamie Jouza, Rita Kelley, Ryan Knepp, Joseph Kunisch, Tammy LaFavcr, Rob McClure, Patti  McKay, Chris Moesel, David Nilasena, Lauren Niles, Ann Phillips, Kala Ramesh, Stan Rankins, Juliet Rubini, Anne Smith, Dawn Stapleton, Corinne Stroum, Dennis Tonneslan</w:t>
      </w:r>
    </w:p>
    <w:p w14:paraId="1F7A55CB" w14:textId="5F357663" w:rsidR="008443BC" w:rsidRDefault="008443BC" w:rsidP="005B4DF6">
      <w:pPr>
        <w:pStyle w:val="Subtitle"/>
        <w:ind w:left="0"/>
        <w:rPr>
          <w:rFonts w:ascii="Calibri" w:hAnsi="Calibri"/>
          <w:color w:val="14415C" w:themeColor="accent3" w:themeShade="BF"/>
          <w:sz w:val="20"/>
          <w:szCs w:val="20"/>
        </w:rPr>
      </w:pPr>
    </w:p>
    <w:tbl>
      <w:tblPr>
        <w:tblStyle w:val="TableGrid"/>
        <w:tblW w:w="0" w:type="auto"/>
        <w:tblInd w:w="72" w:type="dxa"/>
        <w:tblLook w:val="04A0" w:firstRow="1" w:lastRow="0" w:firstColumn="1" w:lastColumn="0" w:noHBand="0" w:noVBand="1"/>
      </w:tblPr>
      <w:tblGrid>
        <w:gridCol w:w="1710"/>
        <w:gridCol w:w="2746"/>
        <w:gridCol w:w="9980"/>
      </w:tblGrid>
      <w:tr w:rsidR="00274EA7" w:rsidRPr="00DF7E73" w14:paraId="3FD43C7D" w14:textId="77777777" w:rsidTr="000A7D94">
        <w:trPr>
          <w:trHeight w:val="440"/>
          <w:tblHeader/>
        </w:trPr>
        <w:tc>
          <w:tcPr>
            <w:tcW w:w="1710" w:type="dxa"/>
            <w:tcBorders>
              <w:top w:val="single" w:sz="4" w:space="0" w:color="auto"/>
              <w:left w:val="single" w:sz="4" w:space="0" w:color="auto"/>
              <w:bottom w:val="single" w:sz="4" w:space="0" w:color="auto"/>
              <w:right w:val="single" w:sz="4" w:space="0" w:color="auto"/>
            </w:tcBorders>
          </w:tcPr>
          <w:p w14:paraId="575D2EED" w14:textId="68EE27D8" w:rsidR="00274EA7" w:rsidRPr="00DF7E73" w:rsidRDefault="00274EA7" w:rsidP="00E91CFC">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w:t>
            </w:r>
          </w:p>
        </w:tc>
        <w:tc>
          <w:tcPr>
            <w:tcW w:w="2746" w:type="dxa"/>
            <w:tcBorders>
              <w:top w:val="single" w:sz="4" w:space="0" w:color="auto"/>
              <w:left w:val="single" w:sz="4" w:space="0" w:color="auto"/>
              <w:bottom w:val="single" w:sz="4" w:space="0" w:color="auto"/>
              <w:right w:val="single" w:sz="4" w:space="0" w:color="auto"/>
            </w:tcBorders>
          </w:tcPr>
          <w:p w14:paraId="2CDE1EBA" w14:textId="7608513C" w:rsidR="00274EA7" w:rsidRPr="00DF7E73" w:rsidRDefault="00274EA7" w:rsidP="00274EA7">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w:t>
            </w:r>
            <w:r>
              <w:rPr>
                <w:rFonts w:ascii="Calibri" w:hAnsi="Calibri"/>
                <w:color w:val="14415C" w:themeColor="accent3" w:themeShade="BF"/>
              </w:rPr>
              <w:t>Item</w:t>
            </w:r>
          </w:p>
        </w:tc>
        <w:tc>
          <w:tcPr>
            <w:tcW w:w="9980" w:type="dxa"/>
            <w:tcBorders>
              <w:top w:val="single" w:sz="4" w:space="0" w:color="auto"/>
              <w:left w:val="single" w:sz="4" w:space="0" w:color="auto"/>
              <w:bottom w:val="single" w:sz="4" w:space="0" w:color="auto"/>
              <w:right w:val="single" w:sz="4" w:space="0" w:color="auto"/>
            </w:tcBorders>
          </w:tcPr>
          <w:p w14:paraId="604D9D3C" w14:textId="77777777" w:rsidR="00274EA7" w:rsidRPr="00DF7E73" w:rsidRDefault="00274EA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274EA7" w:rsidRPr="00DF7E73" w14:paraId="2C0049C8" w14:textId="77777777" w:rsidTr="000A7D94">
        <w:trPr>
          <w:trHeight w:val="737"/>
        </w:trPr>
        <w:tc>
          <w:tcPr>
            <w:tcW w:w="1710" w:type="dxa"/>
          </w:tcPr>
          <w:p w14:paraId="24A66DC3" w14:textId="1B3B8F76" w:rsidR="00274EA7" w:rsidRPr="0068057C" w:rsidRDefault="00274EA7" w:rsidP="00916C3E">
            <w:pPr>
              <w:ind w:left="0"/>
              <w:rPr>
                <w:rFonts w:ascii="Palatino" w:hAnsi="Palatino"/>
              </w:rPr>
            </w:pPr>
            <w:r>
              <w:rPr>
                <w:rFonts w:ascii="Palatino" w:hAnsi="Palatino"/>
              </w:rPr>
              <w:t>2:30</w:t>
            </w:r>
            <w:r w:rsidRPr="0068057C">
              <w:rPr>
                <w:rFonts w:ascii="Palatino" w:hAnsi="Palatino"/>
              </w:rPr>
              <w:t xml:space="preserve"> PM</w:t>
            </w:r>
          </w:p>
        </w:tc>
        <w:tc>
          <w:tcPr>
            <w:tcW w:w="2746" w:type="dxa"/>
          </w:tcPr>
          <w:p w14:paraId="1FCD8A44" w14:textId="45E6626D" w:rsidR="00274EA7" w:rsidRPr="005B70AE" w:rsidRDefault="00B324DD" w:rsidP="00DA451F">
            <w:pPr>
              <w:spacing w:before="0" w:after="0"/>
              <w:ind w:left="0"/>
              <w:rPr>
                <w:i/>
              </w:rPr>
            </w:pPr>
            <w:hyperlink r:id="rId13" w:history="1">
              <w:r w:rsidR="00DA451F">
                <w:rPr>
                  <w:rStyle w:val="Hyperlink"/>
                  <w:rFonts w:asciiTheme="minorHAnsi" w:hAnsiTheme="minorHAnsi" w:cstheme="minorBidi"/>
                  <w:color w:val="0000FF"/>
                </w:rPr>
                <w:t>QDM-103</w:t>
              </w:r>
            </w:hyperlink>
            <w:r w:rsidR="00274EA7">
              <w:t xml:space="preserve">: </w:t>
            </w:r>
            <w:r w:rsidR="00274EA7" w:rsidRPr="00571F73">
              <w:rPr>
                <w:rStyle w:val="Hyperlink"/>
                <w:rFonts w:ascii="Palatino" w:hAnsi="Palatino" w:cstheme="minorBidi"/>
                <w:i/>
                <w:color w:val="auto"/>
                <w:u w:val="none"/>
              </w:rPr>
              <w:t xml:space="preserve">Consider </w:t>
            </w:r>
            <w:r w:rsidR="00DA451F">
              <w:rPr>
                <w:rStyle w:val="Hyperlink"/>
                <w:rFonts w:ascii="Palatino" w:hAnsi="Palatino" w:cstheme="minorBidi"/>
                <w:i/>
                <w:color w:val="auto"/>
                <w:u w:val="none"/>
              </w:rPr>
              <w:t xml:space="preserve">Re-specifying </w:t>
            </w:r>
            <w:r w:rsidR="00274EA7" w:rsidRPr="00571F73">
              <w:rPr>
                <w:rStyle w:val="Hyperlink"/>
                <w:rFonts w:ascii="Palatino" w:hAnsi="Palatino" w:cstheme="minorBidi"/>
                <w:i/>
                <w:color w:val="auto"/>
                <w:u w:val="none"/>
              </w:rPr>
              <w:t>QDM Diagnosis</w:t>
            </w:r>
          </w:p>
        </w:tc>
        <w:tc>
          <w:tcPr>
            <w:tcW w:w="9980" w:type="dxa"/>
          </w:tcPr>
          <w:p w14:paraId="7953FE91" w14:textId="5B5DA79B" w:rsidR="003966A3" w:rsidRDefault="000A7D94" w:rsidP="00CD0541">
            <w:pPr>
              <w:spacing w:before="0" w:after="0"/>
              <w:ind w:left="0"/>
            </w:pPr>
            <w:r>
              <w:t xml:space="preserve">MITRE introduced the topic by briefly summarizing the efforts that have been made since the last User Group meeting.  MITRE then went on to propose a solution based on the results of numerous discussions and </w:t>
            </w:r>
            <w:r w:rsidR="00CD0541">
              <w:t xml:space="preserve">research into the topic.  See QDM-103 for further details, but in short, the proposed solution is </w:t>
            </w:r>
            <w:r w:rsidR="00262558">
              <w:t>w</w:t>
            </w:r>
            <w:r w:rsidR="00CD0541">
              <w:t>as follows:</w:t>
            </w:r>
          </w:p>
          <w:p w14:paraId="13E9C781" w14:textId="75DD6316" w:rsidR="0045756F" w:rsidRDefault="0045756F" w:rsidP="0045756F">
            <w:pPr>
              <w:pStyle w:val="ListParagraph"/>
              <w:numPr>
                <w:ilvl w:val="0"/>
                <w:numId w:val="44"/>
              </w:numPr>
              <w:spacing w:before="0" w:after="0"/>
            </w:pPr>
            <w:r>
              <w:t xml:space="preserve">Consolidate </w:t>
            </w:r>
            <w:r>
              <w:rPr>
                <w:i/>
              </w:rPr>
              <w:t>Diagnosis</w:t>
            </w:r>
            <w:r>
              <w:t xml:space="preserve"> </w:t>
            </w:r>
            <w:r>
              <w:rPr>
                <w:i/>
              </w:rPr>
              <w:t>Active</w:t>
            </w:r>
            <w:r>
              <w:t xml:space="preserve">, </w:t>
            </w:r>
            <w:r>
              <w:rPr>
                <w:i/>
              </w:rPr>
              <w:t>Inactive</w:t>
            </w:r>
            <w:r>
              <w:t xml:space="preserve">, and </w:t>
            </w:r>
            <w:r>
              <w:rPr>
                <w:i/>
              </w:rPr>
              <w:t>Resolved</w:t>
            </w:r>
            <w:r>
              <w:t xml:space="preserve"> datatypes to one </w:t>
            </w:r>
            <w:r>
              <w:rPr>
                <w:i/>
              </w:rPr>
              <w:t>Diagnosis</w:t>
            </w:r>
            <w:r>
              <w:t xml:space="preserve"> datatype</w:t>
            </w:r>
          </w:p>
          <w:p w14:paraId="492F3329" w14:textId="5DFD5974" w:rsidR="0045756F" w:rsidRDefault="0045756F" w:rsidP="0045756F">
            <w:pPr>
              <w:pStyle w:val="ListParagraph"/>
              <w:numPr>
                <w:ilvl w:val="0"/>
                <w:numId w:val="44"/>
              </w:numPr>
              <w:spacing w:before="0" w:after="0"/>
            </w:pPr>
            <w:r>
              <w:t xml:space="preserve">Replace </w:t>
            </w:r>
            <w:r>
              <w:rPr>
                <w:i/>
              </w:rPr>
              <w:t>start/end</w:t>
            </w:r>
            <w:r>
              <w:t xml:space="preserve"> datetimes on </w:t>
            </w:r>
            <w:r>
              <w:rPr>
                <w:i/>
              </w:rPr>
              <w:t>Diagnosis</w:t>
            </w:r>
            <w:r>
              <w:t xml:space="preserve"> with</w:t>
            </w:r>
            <w:r w:rsidR="00262558">
              <w:t xml:space="preserve"> </w:t>
            </w:r>
            <w:r w:rsidR="00262558">
              <w:rPr>
                <w:i/>
              </w:rPr>
              <w:t>recorded</w:t>
            </w:r>
            <w:r w:rsidR="00262558">
              <w:t>,</w:t>
            </w:r>
            <w:r>
              <w:t xml:space="preserve"> </w:t>
            </w:r>
            <w:r>
              <w:rPr>
                <w:i/>
              </w:rPr>
              <w:t>onset</w:t>
            </w:r>
            <w:r w:rsidR="00262558">
              <w:rPr>
                <w:i/>
              </w:rPr>
              <w:t>,</w:t>
            </w:r>
            <w:r>
              <w:t xml:space="preserve"> and </w:t>
            </w:r>
            <w:r>
              <w:rPr>
                <w:i/>
              </w:rPr>
              <w:t>abatement</w:t>
            </w:r>
            <w:r>
              <w:t xml:space="preserve"> datetimes</w:t>
            </w:r>
          </w:p>
          <w:p w14:paraId="406DB581" w14:textId="777ECFB6" w:rsidR="0045756F" w:rsidRDefault="0045756F" w:rsidP="0045756F">
            <w:pPr>
              <w:pStyle w:val="ListParagraph"/>
              <w:numPr>
                <w:ilvl w:val="0"/>
                <w:numId w:val="44"/>
              </w:numPr>
              <w:spacing w:before="0" w:after="0"/>
            </w:pPr>
            <w:r>
              <w:t xml:space="preserve">Remove </w:t>
            </w:r>
            <w:r>
              <w:rPr>
                <w:i/>
              </w:rPr>
              <w:t>ordinality</w:t>
            </w:r>
            <w:r>
              <w:t xml:space="preserve"> from the </w:t>
            </w:r>
            <w:r>
              <w:rPr>
                <w:i/>
              </w:rPr>
              <w:t>Diagnosis</w:t>
            </w:r>
            <w:r>
              <w:t xml:space="preserve"> datatype (in favor of new </w:t>
            </w:r>
            <w:r>
              <w:rPr>
                <w:i/>
              </w:rPr>
              <w:t>Encounter</w:t>
            </w:r>
            <w:r>
              <w:t xml:space="preserve"> approach)</w:t>
            </w:r>
          </w:p>
          <w:p w14:paraId="56F37BCB" w14:textId="0C5388CF" w:rsidR="0045756F" w:rsidRDefault="0045756F" w:rsidP="0045756F">
            <w:pPr>
              <w:pStyle w:val="ListParagraph"/>
              <w:numPr>
                <w:ilvl w:val="0"/>
                <w:numId w:val="44"/>
              </w:numPr>
              <w:spacing w:before="0" w:after="0"/>
            </w:pPr>
            <w:r>
              <w:t xml:space="preserve">Add </w:t>
            </w:r>
            <w:r>
              <w:rPr>
                <w:i/>
              </w:rPr>
              <w:t>diagnosis</w:t>
            </w:r>
            <w:r>
              <w:t xml:space="preserve"> and </w:t>
            </w:r>
            <w:r>
              <w:rPr>
                <w:i/>
              </w:rPr>
              <w:t>principal diagnosis</w:t>
            </w:r>
            <w:r>
              <w:t xml:space="preserve"> attributes to </w:t>
            </w:r>
            <w:r>
              <w:rPr>
                <w:i/>
              </w:rPr>
              <w:t>Encounter, Performed</w:t>
            </w:r>
            <w:r>
              <w:t xml:space="preserve"> datatype</w:t>
            </w:r>
          </w:p>
          <w:p w14:paraId="7BB41E20" w14:textId="29374737" w:rsidR="0045756F" w:rsidRDefault="0045756F" w:rsidP="0045756F">
            <w:pPr>
              <w:pStyle w:val="ListParagraph"/>
              <w:numPr>
                <w:ilvl w:val="0"/>
                <w:numId w:val="44"/>
              </w:numPr>
              <w:spacing w:before="0" w:after="0"/>
            </w:pPr>
            <w:r>
              <w:t xml:space="preserve">New/improved definitions of </w:t>
            </w:r>
            <w:r>
              <w:rPr>
                <w:i/>
              </w:rPr>
              <w:t>Diagnosis</w:t>
            </w:r>
            <w:r>
              <w:t xml:space="preserve"> and all new attributes</w:t>
            </w:r>
          </w:p>
          <w:p w14:paraId="48B3C419" w14:textId="77777777" w:rsidR="0045756F" w:rsidRDefault="0045756F" w:rsidP="0045756F">
            <w:pPr>
              <w:spacing w:before="0" w:after="0"/>
            </w:pPr>
          </w:p>
          <w:p w14:paraId="6B689295" w14:textId="77777777" w:rsidR="00CD0541" w:rsidRDefault="00DC30D5" w:rsidP="00DC30D5">
            <w:pPr>
              <w:spacing w:before="0" w:after="0"/>
              <w:ind w:left="0"/>
            </w:pPr>
            <w:r>
              <w:t xml:space="preserve">MITRE then went on to describe why the proposed solution does not separate </w:t>
            </w:r>
            <w:r w:rsidRPr="00DC30D5">
              <w:rPr>
                <w:i/>
              </w:rPr>
              <w:t>diagnosis</w:t>
            </w:r>
            <w:r>
              <w:t xml:space="preserve"> and </w:t>
            </w:r>
            <w:r w:rsidRPr="00DC30D5">
              <w:rPr>
                <w:i/>
              </w:rPr>
              <w:t>problem</w:t>
            </w:r>
            <w:r>
              <w:t xml:space="preserve"> datatypes (which had previously been considered).  In short:</w:t>
            </w:r>
          </w:p>
          <w:p w14:paraId="723FB236" w14:textId="77777777" w:rsidR="00DC30D5" w:rsidRDefault="00DC30D5" w:rsidP="00DC30D5">
            <w:pPr>
              <w:pStyle w:val="ListParagraph"/>
              <w:numPr>
                <w:ilvl w:val="0"/>
                <w:numId w:val="45"/>
              </w:numPr>
              <w:spacing w:before="0" w:after="0"/>
            </w:pPr>
            <w:r>
              <w:t xml:space="preserve">The distinction between </w:t>
            </w:r>
            <w:r>
              <w:rPr>
                <w:i/>
              </w:rPr>
              <w:t>problem</w:t>
            </w:r>
            <w:r>
              <w:t xml:space="preserve"> and </w:t>
            </w:r>
            <w:r>
              <w:rPr>
                <w:i/>
              </w:rPr>
              <w:t>diagnosis</w:t>
            </w:r>
            <w:r>
              <w:t xml:space="preserve"> is ambiguous (even to clinicians)</w:t>
            </w:r>
          </w:p>
          <w:p w14:paraId="5C49E222" w14:textId="77777777" w:rsidR="00DC30D5" w:rsidRDefault="00DC30D5" w:rsidP="00DC30D5">
            <w:pPr>
              <w:pStyle w:val="ListParagraph"/>
              <w:numPr>
                <w:ilvl w:val="0"/>
                <w:numId w:val="45"/>
              </w:numPr>
              <w:spacing w:before="0" w:after="0"/>
            </w:pPr>
            <w:r>
              <w:t>The best distinguishing factors (data source and code system) go against QDM’s philosophy</w:t>
            </w:r>
          </w:p>
          <w:p w14:paraId="7CB65EDC" w14:textId="77777777" w:rsidR="00DC30D5" w:rsidRDefault="00DC30D5" w:rsidP="00DC30D5">
            <w:pPr>
              <w:pStyle w:val="ListParagraph"/>
              <w:numPr>
                <w:ilvl w:val="0"/>
                <w:numId w:val="45"/>
              </w:numPr>
              <w:spacing w:before="0" w:after="0"/>
            </w:pPr>
            <w:r>
              <w:t>Separate datatypes could add significant complexity to source-agnostic measures</w:t>
            </w:r>
          </w:p>
          <w:p w14:paraId="6781ED3B" w14:textId="77777777" w:rsidR="00DC30D5" w:rsidRDefault="00DC30D5" w:rsidP="00DC30D5">
            <w:pPr>
              <w:pStyle w:val="ListParagraph"/>
              <w:numPr>
                <w:ilvl w:val="0"/>
                <w:numId w:val="45"/>
              </w:numPr>
              <w:spacing w:before="0" w:after="0"/>
            </w:pPr>
            <w:r>
              <w:t>Continuing with a single representation is less disruptive (and better known</w:t>
            </w:r>
            <w:r w:rsidR="00262558">
              <w:t xml:space="preserve"> by vendors)</w:t>
            </w:r>
          </w:p>
          <w:p w14:paraId="3DD618C6" w14:textId="77777777" w:rsidR="00262558" w:rsidRDefault="00262558" w:rsidP="00DC30D5">
            <w:pPr>
              <w:pStyle w:val="ListParagraph"/>
              <w:numPr>
                <w:ilvl w:val="0"/>
                <w:numId w:val="45"/>
              </w:numPr>
              <w:spacing w:before="0" w:after="0"/>
            </w:pPr>
            <w:r>
              <w:t>Other respected groups (HL7 Patient Care, OpenEHR CKM, etc) reached the same conclusion</w:t>
            </w:r>
          </w:p>
          <w:p w14:paraId="19E238D1" w14:textId="77777777" w:rsidR="00262558" w:rsidRDefault="00262558" w:rsidP="00262558">
            <w:pPr>
              <w:spacing w:before="0" w:after="0"/>
            </w:pPr>
          </w:p>
          <w:p w14:paraId="130D6C41" w14:textId="02919B96" w:rsidR="00326E9B" w:rsidRDefault="00262558" w:rsidP="00262558">
            <w:pPr>
              <w:spacing w:before="0" w:after="0"/>
            </w:pPr>
            <w:r>
              <w:t xml:space="preserve">A </w:t>
            </w:r>
            <w:r w:rsidR="00326E9B">
              <w:t>participant</w:t>
            </w:r>
            <w:r>
              <w:t xml:space="preserve"> opened the discussion by stating his approval of the proposed solution.  He agreed that most clinicians do not distinguish between diagnoses and problems, and suggested that the user group only considered it in order to address the real issue of representing encounter diagnoses in encounter-based measures.  The addition of the </w:t>
            </w:r>
            <w:r>
              <w:rPr>
                <w:i/>
              </w:rPr>
              <w:t>diagnosis</w:t>
            </w:r>
            <w:r>
              <w:t xml:space="preserve"> and </w:t>
            </w:r>
            <w:r>
              <w:rPr>
                <w:i/>
              </w:rPr>
              <w:t>principal diagnosis</w:t>
            </w:r>
            <w:r>
              <w:t xml:space="preserve"> attributes to </w:t>
            </w:r>
            <w:r>
              <w:rPr>
                <w:i/>
              </w:rPr>
              <w:t>Encounter, Performed</w:t>
            </w:r>
            <w:r>
              <w:t xml:space="preserve"> solve this problem nicely—negating t</w:t>
            </w:r>
            <w:r w:rsidR="00326E9B">
              <w:t>he need for a second datatype.</w:t>
            </w:r>
          </w:p>
          <w:p w14:paraId="3B59C4F9" w14:textId="77777777" w:rsidR="00326E9B" w:rsidRDefault="00326E9B" w:rsidP="00262558">
            <w:pPr>
              <w:spacing w:before="0" w:after="0"/>
            </w:pPr>
          </w:p>
          <w:p w14:paraId="7C836CC0" w14:textId="1CF6DF3A" w:rsidR="00262558" w:rsidRDefault="00262558" w:rsidP="00326E9B">
            <w:pPr>
              <w:spacing w:before="0" w:after="0"/>
            </w:pPr>
            <w:r>
              <w:lastRenderedPageBreak/>
              <w:t xml:space="preserve">The </w:t>
            </w:r>
            <w:r w:rsidR="00326E9B">
              <w:t xml:space="preserve">participant </w:t>
            </w:r>
            <w:r>
              <w:t xml:space="preserve">then suggested that the proposed </w:t>
            </w:r>
            <w:r>
              <w:rPr>
                <w:i/>
              </w:rPr>
              <w:t>recorded datetime</w:t>
            </w:r>
            <w:r>
              <w:t xml:space="preserve"> attribute be removed, as it </w:t>
            </w:r>
            <w:r w:rsidR="00326E9B">
              <w:t>would only</w:t>
            </w:r>
            <w:r>
              <w:t xml:space="preserve"> </w:t>
            </w:r>
            <w:r w:rsidR="00326E9B">
              <w:t>cause</w:t>
            </w:r>
            <w:r>
              <w:t xml:space="preserve"> confusion and is not useful for measurement.  </w:t>
            </w:r>
            <w:r w:rsidR="00326E9B">
              <w:t xml:space="preserve">Instead, the </w:t>
            </w:r>
            <w:r>
              <w:rPr>
                <w:i/>
              </w:rPr>
              <w:t>onset</w:t>
            </w:r>
            <w:r>
              <w:t xml:space="preserve"> and </w:t>
            </w:r>
            <w:r>
              <w:rPr>
                <w:i/>
              </w:rPr>
              <w:t>abatement</w:t>
            </w:r>
            <w:r>
              <w:t xml:space="preserve"> attributes </w:t>
            </w:r>
            <w:r w:rsidR="00326E9B">
              <w:t>should be clearly defined and vendors left to implement as best they can</w:t>
            </w:r>
            <w:r>
              <w:t>.  Over the course of discussion, it was apparent that the user group agreed</w:t>
            </w:r>
            <w:r w:rsidR="00326E9B">
              <w:t xml:space="preserve"> with this sentiment, so the </w:t>
            </w:r>
            <w:r w:rsidR="00326E9B">
              <w:rPr>
                <w:i/>
              </w:rPr>
              <w:t>recorded datetime</w:t>
            </w:r>
            <w:r w:rsidR="00326E9B">
              <w:t xml:space="preserve"> was dropped from the proposal.</w:t>
            </w:r>
          </w:p>
          <w:p w14:paraId="0B1498FB" w14:textId="77777777" w:rsidR="00326E9B" w:rsidRDefault="00326E9B" w:rsidP="00326E9B">
            <w:pPr>
              <w:spacing w:before="0" w:after="0"/>
            </w:pPr>
          </w:p>
          <w:p w14:paraId="6672850A" w14:textId="5CB32A76" w:rsidR="00326E9B" w:rsidRDefault="00326E9B" w:rsidP="00326E9B">
            <w:pPr>
              <w:spacing w:before="0" w:after="0"/>
            </w:pPr>
            <w:r>
              <w:t xml:space="preserve">The participant also suggested that the QDM adopt the UHDDS definition of </w:t>
            </w:r>
            <w:r>
              <w:rPr>
                <w:i/>
              </w:rPr>
              <w:t>principal diagnosis</w:t>
            </w:r>
            <w:r>
              <w:t>: “</w:t>
            </w:r>
            <w:r w:rsidRPr="00326E9B">
              <w:rPr>
                <w:i/>
              </w:rPr>
              <w:t>that condition established after study to be chiefly responsible for occasioning the admission of the patient to the hospital for care</w:t>
            </w:r>
            <w:r>
              <w:t>.”  This definition will be integrated into the proposal.</w:t>
            </w:r>
          </w:p>
          <w:p w14:paraId="44D5FF19" w14:textId="77777777" w:rsidR="00326E9B" w:rsidRDefault="00326E9B" w:rsidP="00326E9B">
            <w:pPr>
              <w:spacing w:before="0" w:after="0"/>
            </w:pPr>
          </w:p>
          <w:p w14:paraId="2F6071CE" w14:textId="7E1099B2" w:rsidR="00326E9B" w:rsidRDefault="00326E9B" w:rsidP="00326E9B">
            <w:pPr>
              <w:spacing w:before="0" w:after="0"/>
            </w:pPr>
            <w:r>
              <w:t>Another participant suggested that the solution may be appropriate, but that measure authors need to be aware of the impact on existing measures.  If this solution is adopted, nearly every measure will need to be re-specified.  MITRE agreed and went on to show some before-and-after examples of the changes this would introduce to the measures.</w:t>
            </w:r>
          </w:p>
          <w:p w14:paraId="60640B1F" w14:textId="77777777" w:rsidR="00326E9B" w:rsidRDefault="00326E9B" w:rsidP="00326E9B">
            <w:pPr>
              <w:spacing w:before="0" w:after="0"/>
            </w:pPr>
          </w:p>
          <w:p w14:paraId="790B994C" w14:textId="707A46B0" w:rsidR="00326E9B" w:rsidRDefault="00326E9B" w:rsidP="00326E9B">
            <w:pPr>
              <w:spacing w:before="0" w:after="0"/>
            </w:pPr>
            <w:r>
              <w:t xml:space="preserve">One participant agreed </w:t>
            </w:r>
            <w:r w:rsidR="008B56AC">
              <w:t xml:space="preserve">that </w:t>
            </w:r>
            <w:r>
              <w:t xml:space="preserve">the proposed solution made sense and would address the main issue, but voiced concern about </w:t>
            </w:r>
            <w:r w:rsidR="008B56AC">
              <w:t xml:space="preserve">it’s implication for some measures that are wanting to look at diagnoses in history.  MITRE showed additional examples using </w:t>
            </w:r>
            <w:r w:rsidR="008B56AC">
              <w:rPr>
                <w:i/>
              </w:rPr>
              <w:t>Diagnosis</w:t>
            </w:r>
            <w:r w:rsidR="008B56AC">
              <w:t xml:space="preserve"> datatypes as well as </w:t>
            </w:r>
            <w:r w:rsidR="008B56AC">
              <w:rPr>
                <w:i/>
              </w:rPr>
              <w:t>Encounter</w:t>
            </w:r>
            <w:r w:rsidR="008B56AC">
              <w:t xml:space="preserve"> </w:t>
            </w:r>
            <w:r w:rsidR="008B56AC">
              <w:rPr>
                <w:i/>
              </w:rPr>
              <w:t>diagnosis</w:t>
            </w:r>
            <w:r w:rsidR="008B56AC">
              <w:t xml:space="preserve"> attributes.  These concepts can be used together when measures need to look at history </w:t>
            </w:r>
            <w:r w:rsidR="008B56AC">
              <w:rPr>
                <w:i/>
              </w:rPr>
              <w:t>and</w:t>
            </w:r>
            <w:r w:rsidR="008B56AC">
              <w:t xml:space="preserve"> the diagnoses managed during the encounter.  VTE measures were discussed, with the VTE-6 measure singled out as a potential problem.  User group participants noted, however, that VTE-6 is a particularly difficult measure and should not be used to gauge the worth of any solution.</w:t>
            </w:r>
          </w:p>
          <w:p w14:paraId="1DF6C54D" w14:textId="77777777" w:rsidR="008B56AC" w:rsidRDefault="008B56AC" w:rsidP="00326E9B">
            <w:pPr>
              <w:spacing w:before="0" w:after="0"/>
            </w:pPr>
          </w:p>
          <w:p w14:paraId="1EFBDC16" w14:textId="2E8DD83A" w:rsidR="008B56AC" w:rsidRDefault="00363DD0" w:rsidP="00326E9B">
            <w:pPr>
              <w:spacing w:before="0" w:after="0"/>
            </w:pPr>
            <w:r>
              <w:t xml:space="preserve">Another participant asked about the link between the </w:t>
            </w:r>
            <w:r>
              <w:rPr>
                <w:i/>
              </w:rPr>
              <w:t>Encounter</w:t>
            </w:r>
            <w:r>
              <w:t xml:space="preserve"> </w:t>
            </w:r>
            <w:r>
              <w:rPr>
                <w:i/>
              </w:rPr>
              <w:t>diagnosis</w:t>
            </w:r>
            <w:r>
              <w:t xml:space="preserve"> attribute and the </w:t>
            </w:r>
            <w:r>
              <w:rPr>
                <w:i/>
              </w:rPr>
              <w:t>Diagnosis</w:t>
            </w:r>
            <w:r>
              <w:t xml:space="preserve"> datatype.  MITRE indicated that QDM does not support a way to explicitly link the two elements</w:t>
            </w:r>
            <w:r w:rsidR="004A54CE">
              <w:t xml:space="preserve"> in measure logic, but that any diagnosis associated to an </w:t>
            </w:r>
            <w:r w:rsidR="004A54CE">
              <w:rPr>
                <w:i/>
              </w:rPr>
              <w:t>Encounter, Performed diagnosis</w:t>
            </w:r>
            <w:r w:rsidR="004A54CE">
              <w:t xml:space="preserve"> or </w:t>
            </w:r>
            <w:r w:rsidR="004A54CE">
              <w:rPr>
                <w:i/>
              </w:rPr>
              <w:t>principal diagnosis</w:t>
            </w:r>
            <w:r w:rsidR="004A54CE">
              <w:t xml:space="preserve">, should also be able to be queried via the </w:t>
            </w:r>
            <w:r w:rsidR="004A54CE">
              <w:rPr>
                <w:i/>
              </w:rPr>
              <w:t>Diagnosis</w:t>
            </w:r>
            <w:r w:rsidR="004A54CE">
              <w:t xml:space="preserve"> datatype.</w:t>
            </w:r>
          </w:p>
          <w:p w14:paraId="12ACE5B1" w14:textId="77777777" w:rsidR="004A54CE" w:rsidRDefault="004A54CE" w:rsidP="00326E9B">
            <w:pPr>
              <w:spacing w:before="0" w:after="0"/>
            </w:pPr>
          </w:p>
          <w:p w14:paraId="0DF468C2" w14:textId="299D2313" w:rsidR="004A54CE" w:rsidRDefault="004A54CE" w:rsidP="00326E9B">
            <w:pPr>
              <w:spacing w:before="0" w:after="0"/>
            </w:pPr>
            <w:r>
              <w:t>Finally, one more participant indicated that this was a good solution, but that EHRs will need to be careful to implement it correctly.  The QDM representation is not intended to prescribe how data should be stored in the EHR, but is rather intended to capture the appropriate relationships between diagnoses and encounters.</w:t>
            </w:r>
          </w:p>
          <w:p w14:paraId="6A4CECA3" w14:textId="77777777" w:rsidR="004A54CE" w:rsidRDefault="004A54CE" w:rsidP="00326E9B">
            <w:pPr>
              <w:spacing w:before="0" w:after="0"/>
            </w:pPr>
          </w:p>
          <w:p w14:paraId="2B3E0911" w14:textId="054969D4" w:rsidR="00326E9B" w:rsidRPr="00326E9B" w:rsidRDefault="004A54CE" w:rsidP="004A54CE">
            <w:pPr>
              <w:spacing w:before="0" w:after="0"/>
            </w:pPr>
            <w:r>
              <w:t xml:space="preserve">MITRE noted that everyone who had spoken was in agreement that the proposed solution should be </w:t>
            </w:r>
            <w:r>
              <w:lastRenderedPageBreak/>
              <w:t>carried forward.  MITRE then asked for, and received, the group’s consensus to advance this solution.  MITRE will continue to evaluate the impact on other HL7 groups, measures, vendors, and schedules.  After further investigation, MITRE will present the proposed solution to the MAT Change Control Board (MCCB).</w:t>
            </w:r>
          </w:p>
        </w:tc>
      </w:tr>
      <w:tr w:rsidR="00274EA7" w:rsidRPr="00DF7E73" w14:paraId="78DD8C83" w14:textId="77777777" w:rsidTr="000A7D94">
        <w:trPr>
          <w:trHeight w:val="737"/>
        </w:trPr>
        <w:tc>
          <w:tcPr>
            <w:tcW w:w="1710" w:type="dxa"/>
          </w:tcPr>
          <w:p w14:paraId="249439BD" w14:textId="241F1244" w:rsidR="00274EA7" w:rsidRPr="0068057C" w:rsidRDefault="00CE72A1" w:rsidP="00DA451F">
            <w:pPr>
              <w:ind w:left="0"/>
              <w:rPr>
                <w:rFonts w:ascii="Palatino" w:hAnsi="Palatino"/>
              </w:rPr>
            </w:pPr>
            <w:r>
              <w:rPr>
                <w:rFonts w:ascii="Palatino" w:hAnsi="Palatino"/>
              </w:rPr>
              <w:lastRenderedPageBreak/>
              <w:t>3</w:t>
            </w:r>
            <w:r w:rsidR="00AF7819">
              <w:rPr>
                <w:rFonts w:ascii="Palatino" w:hAnsi="Palatino"/>
              </w:rPr>
              <w:t>:</w:t>
            </w:r>
            <w:r w:rsidR="00DA451F">
              <w:rPr>
                <w:rFonts w:ascii="Palatino" w:hAnsi="Palatino"/>
              </w:rPr>
              <w:t>3</w:t>
            </w:r>
            <w:r>
              <w:rPr>
                <w:rFonts w:ascii="Palatino" w:hAnsi="Palatino"/>
              </w:rPr>
              <w:t xml:space="preserve">0 </w:t>
            </w:r>
            <w:r w:rsidR="00AF7819">
              <w:rPr>
                <w:rFonts w:ascii="Palatino" w:hAnsi="Palatino"/>
              </w:rPr>
              <w:t>PM</w:t>
            </w:r>
          </w:p>
        </w:tc>
        <w:tc>
          <w:tcPr>
            <w:tcW w:w="2746" w:type="dxa"/>
          </w:tcPr>
          <w:p w14:paraId="6577C1E1" w14:textId="499EF940" w:rsidR="00274EA7" w:rsidRDefault="00B324DD" w:rsidP="00D92B5B">
            <w:pPr>
              <w:spacing w:before="0" w:after="0"/>
              <w:ind w:left="0"/>
            </w:pPr>
            <w:hyperlink r:id="rId14" w:history="1">
              <w:r w:rsidR="00274EA7" w:rsidRPr="001A5C14">
                <w:rPr>
                  <w:rStyle w:val="Hyperlink"/>
                  <w:rFonts w:ascii="Palatino" w:hAnsi="Palatino" w:cstheme="minorBidi"/>
                  <w:color w:val="0000FF"/>
                </w:rPr>
                <w:t>QDM-87</w:t>
              </w:r>
            </w:hyperlink>
            <w:r w:rsidR="00DA451F" w:rsidRPr="00DA451F">
              <w:rPr>
                <w:rStyle w:val="Hyperlink"/>
                <w:rFonts w:ascii="Palatino" w:hAnsi="Palatino" w:cstheme="minorBidi"/>
                <w:color w:val="auto"/>
                <w:u w:val="none"/>
              </w:rPr>
              <w:t>:</w:t>
            </w:r>
            <w:r w:rsidR="00DA451F">
              <w:rPr>
                <w:rStyle w:val="Hyperlink"/>
                <w:rFonts w:ascii="Palatino" w:hAnsi="Palatino" w:cstheme="minorBidi"/>
                <w:color w:val="auto"/>
                <w:u w:val="none"/>
              </w:rPr>
              <w:t xml:space="preserve"> </w:t>
            </w:r>
            <w:r w:rsidR="00DA451F">
              <w:rPr>
                <w:rStyle w:val="Hyperlink"/>
                <w:rFonts w:ascii="Palatino" w:hAnsi="Palatino" w:cstheme="minorBidi"/>
                <w:i/>
                <w:color w:val="auto"/>
                <w:u w:val="none"/>
              </w:rPr>
              <w:t>A</w:t>
            </w:r>
            <w:r w:rsidR="00274EA7" w:rsidRPr="005B70AE">
              <w:rPr>
                <w:rStyle w:val="Hyperlink"/>
                <w:rFonts w:ascii="Palatino" w:hAnsi="Palatino" w:cstheme="minorBidi"/>
                <w:i/>
                <w:color w:val="auto"/>
                <w:u w:val="none"/>
              </w:rPr>
              <w:t>bility to refer to immunizations is inconsistent with interoperability standards</w:t>
            </w:r>
          </w:p>
        </w:tc>
        <w:tc>
          <w:tcPr>
            <w:tcW w:w="9980" w:type="dxa"/>
          </w:tcPr>
          <w:p w14:paraId="1A8660DE" w14:textId="77777777" w:rsidR="008C77D3" w:rsidRDefault="006C4616" w:rsidP="00DA451F">
            <w:pPr>
              <w:spacing w:before="0" w:after="0"/>
              <w:ind w:left="0"/>
            </w:pPr>
            <w:r>
              <w:t xml:space="preserve">MITRE briefly summarized the current state and proposed that QDM adopt the following </w:t>
            </w:r>
            <w:r>
              <w:rPr>
                <w:i/>
              </w:rPr>
              <w:t>Immunization</w:t>
            </w:r>
            <w:r>
              <w:t xml:space="preserve"> datatypes:</w:t>
            </w:r>
          </w:p>
          <w:p w14:paraId="79DE7CA5" w14:textId="77777777" w:rsidR="006C4616" w:rsidRDefault="006C4616" w:rsidP="006C4616">
            <w:pPr>
              <w:pStyle w:val="ListParagraph"/>
              <w:numPr>
                <w:ilvl w:val="0"/>
                <w:numId w:val="46"/>
              </w:numPr>
              <w:spacing w:before="0" w:after="0"/>
            </w:pPr>
            <w:r>
              <w:t>Immunization, Administered</w:t>
            </w:r>
          </w:p>
          <w:p w14:paraId="030F1443" w14:textId="77777777" w:rsidR="006C4616" w:rsidRDefault="006C4616" w:rsidP="006C4616">
            <w:pPr>
              <w:pStyle w:val="ListParagraph"/>
              <w:numPr>
                <w:ilvl w:val="0"/>
                <w:numId w:val="46"/>
              </w:numPr>
              <w:spacing w:before="0" w:after="0"/>
            </w:pPr>
            <w:r>
              <w:t>Immunization, Allergy</w:t>
            </w:r>
          </w:p>
          <w:p w14:paraId="496A85D4" w14:textId="77777777" w:rsidR="006C4616" w:rsidRDefault="006C4616" w:rsidP="006C4616">
            <w:pPr>
              <w:pStyle w:val="ListParagraph"/>
              <w:numPr>
                <w:ilvl w:val="0"/>
                <w:numId w:val="46"/>
              </w:numPr>
              <w:spacing w:before="0" w:after="0"/>
            </w:pPr>
            <w:r>
              <w:t>Immunization, Intolerance</w:t>
            </w:r>
          </w:p>
          <w:p w14:paraId="1FAFDEF4" w14:textId="77777777" w:rsidR="006C4616" w:rsidRDefault="006C4616" w:rsidP="006C4616">
            <w:pPr>
              <w:pStyle w:val="ListParagraph"/>
              <w:numPr>
                <w:ilvl w:val="0"/>
                <w:numId w:val="46"/>
              </w:numPr>
              <w:spacing w:before="0" w:after="0"/>
            </w:pPr>
            <w:r>
              <w:t>Immunization, Order</w:t>
            </w:r>
          </w:p>
          <w:p w14:paraId="1A92F8C4" w14:textId="77777777" w:rsidR="006C4616" w:rsidRDefault="006C4616" w:rsidP="006C4616">
            <w:pPr>
              <w:spacing w:before="0" w:after="0"/>
            </w:pPr>
          </w:p>
          <w:p w14:paraId="43B8A817" w14:textId="2072B0BE" w:rsidR="006C4616" w:rsidRDefault="006C4616" w:rsidP="006C4616">
            <w:pPr>
              <w:spacing w:before="0" w:after="0"/>
            </w:pPr>
            <w:r>
              <w:t xml:space="preserve">MITRE indicated that these datatypes are based on the </w:t>
            </w:r>
            <w:r>
              <w:rPr>
                <w:i/>
              </w:rPr>
              <w:t>Medication</w:t>
            </w:r>
            <w:r>
              <w:t xml:space="preserve"> datatypes that are used for immunizations in current measures.  In addition, the proposal includes a new </w:t>
            </w:r>
            <w:r>
              <w:rPr>
                <w:i/>
              </w:rPr>
              <w:t>reported</w:t>
            </w:r>
            <w:r>
              <w:t xml:space="preserve"> attribute on </w:t>
            </w:r>
            <w:r>
              <w:rPr>
                <w:i/>
              </w:rPr>
              <w:t>Immunization, Administered</w:t>
            </w:r>
            <w:r>
              <w:t xml:space="preserve">.  The </w:t>
            </w:r>
            <w:r>
              <w:rPr>
                <w:i/>
              </w:rPr>
              <w:t>reported</w:t>
            </w:r>
            <w:r>
              <w:t xml:space="preserve"> attribute is intended to indicate if the immunization was merely </w:t>
            </w:r>
            <w:r>
              <w:rPr>
                <w:i/>
              </w:rPr>
              <w:t>reported</w:t>
            </w:r>
            <w:r>
              <w:t xml:space="preserve"> or if it had been </w:t>
            </w:r>
            <w:r>
              <w:rPr>
                <w:i/>
              </w:rPr>
              <w:t>directly administered</w:t>
            </w:r>
            <w:r>
              <w:t xml:space="preserve">.  This aligned well with the approach used on FHIR’s </w:t>
            </w:r>
            <w:r w:rsidRPr="006C4616">
              <w:rPr>
                <w:i/>
              </w:rPr>
              <w:t>Immunization</w:t>
            </w:r>
            <w:r>
              <w:t xml:space="preserve"> resource. MITRE cautioned, however, that the first version of these datatypes in QDM might </w:t>
            </w:r>
            <w:r>
              <w:rPr>
                <w:i/>
              </w:rPr>
              <w:t>not</w:t>
            </w:r>
            <w:r>
              <w:t xml:space="preserve"> include the </w:t>
            </w:r>
            <w:r>
              <w:rPr>
                <w:i/>
              </w:rPr>
              <w:t>reported</w:t>
            </w:r>
            <w:r>
              <w:t xml:space="preserve"> attribute since it is not well-supported in the underlying HL7 standards.</w:t>
            </w:r>
          </w:p>
          <w:p w14:paraId="1DFB5539" w14:textId="77777777" w:rsidR="006C4616" w:rsidRDefault="006C4616" w:rsidP="006C4616">
            <w:pPr>
              <w:spacing w:before="0" w:after="0"/>
            </w:pPr>
          </w:p>
          <w:p w14:paraId="4E013A3B" w14:textId="10D9BF9D" w:rsidR="006C4616" w:rsidRDefault="006C4616" w:rsidP="006C4616">
            <w:pPr>
              <w:spacing w:before="0" w:after="0"/>
            </w:pPr>
            <w:r>
              <w:t xml:space="preserve">There was some confusion regarding the </w:t>
            </w:r>
            <w:r>
              <w:rPr>
                <w:i/>
              </w:rPr>
              <w:t>reported</w:t>
            </w:r>
            <w:r>
              <w:t xml:space="preserve"> datatype and whether it was a boolean (true/false), a valueset (indicating the source), or a datetime (indicating when it was reported).  MITRE clarified that it is a simple flag</w:t>
            </w:r>
            <w:r w:rsidR="00A22FAE">
              <w:t xml:space="preserve">, so it would be represented as a </w:t>
            </w:r>
            <w:r w:rsidR="00A22FAE">
              <w:rPr>
                <w:i/>
              </w:rPr>
              <w:t>boolean</w:t>
            </w:r>
            <w:r w:rsidR="00A22FAE">
              <w:t xml:space="preserve">.  </w:t>
            </w:r>
            <w:r w:rsidR="00DA5B7A">
              <w:t>Using a value set would be useful, but the underlying standards are not ready to support that yet.  Using a date would probably not be appropriate since measures would be more interested in the administration date than the date it was reported.</w:t>
            </w:r>
          </w:p>
          <w:p w14:paraId="0C98AC93" w14:textId="77777777" w:rsidR="00DA5B7A" w:rsidRDefault="00DA5B7A" w:rsidP="006C4616">
            <w:pPr>
              <w:spacing w:before="0" w:after="0"/>
            </w:pPr>
          </w:p>
          <w:p w14:paraId="0EF813C2" w14:textId="44A6837A" w:rsidR="00DA5B7A" w:rsidRDefault="00DA5B7A" w:rsidP="006C4616">
            <w:pPr>
              <w:spacing w:before="0" w:after="0"/>
            </w:pPr>
            <w:r>
              <w:t xml:space="preserve">MITRE indicated that an early version of the proposal separated </w:t>
            </w:r>
            <w:r>
              <w:rPr>
                <w:i/>
              </w:rPr>
              <w:t>reported</w:t>
            </w:r>
            <w:r>
              <w:t xml:space="preserve"> into its own datatype, but this would have made measure logic more complex for cases where </w:t>
            </w:r>
            <w:r w:rsidRPr="00DA5B7A">
              <w:rPr>
                <w:i/>
              </w:rPr>
              <w:t>reported</w:t>
            </w:r>
            <w:r>
              <w:t xml:space="preserve"> status does not matter.  In addition, it would not have aligned as well to the current FHIR representations of immunization.</w:t>
            </w:r>
          </w:p>
          <w:p w14:paraId="430EB916" w14:textId="77777777" w:rsidR="00DA5B7A" w:rsidRDefault="00DA5B7A" w:rsidP="006C4616">
            <w:pPr>
              <w:spacing w:before="0" w:after="0"/>
            </w:pPr>
          </w:p>
          <w:p w14:paraId="5F67C92C" w14:textId="3617B499" w:rsidR="00DA5B7A" w:rsidRDefault="00DA5B7A" w:rsidP="006C4616">
            <w:pPr>
              <w:spacing w:before="0" w:after="0"/>
            </w:pPr>
            <w:r>
              <w:t xml:space="preserve">There were further questions about some peculiarities of the datatypes, for example separate allergy/intolerance datatypes, or an </w:t>
            </w:r>
            <w:r w:rsidRPr="00DA5B7A">
              <w:rPr>
                <w:i/>
              </w:rPr>
              <w:t>Immunization, Administered</w:t>
            </w:r>
            <w:r>
              <w:t xml:space="preserve"> </w:t>
            </w:r>
            <w:r>
              <w:rPr>
                <w:i/>
              </w:rPr>
              <w:t>stop datetime</w:t>
            </w:r>
            <w:r>
              <w:t xml:space="preserve">.  MITRE indicated that in order to simplify the effort, and </w:t>
            </w:r>
            <w:r w:rsidR="006B7AE5">
              <w:t xml:space="preserve">to </w:t>
            </w:r>
            <w:r>
              <w:t xml:space="preserve">provide some consistency, the </w:t>
            </w:r>
            <w:r w:rsidR="006B7AE5">
              <w:rPr>
                <w:i/>
              </w:rPr>
              <w:t>Immunization</w:t>
            </w:r>
            <w:r w:rsidR="006B7AE5">
              <w:t xml:space="preserve"> datatypes were mirror-images of the corresponding </w:t>
            </w:r>
            <w:r w:rsidR="006B7AE5">
              <w:rPr>
                <w:i/>
              </w:rPr>
              <w:t>Medication</w:t>
            </w:r>
            <w:r w:rsidR="006B7AE5">
              <w:t xml:space="preserve"> datatypes.  While these issues could be fixed in only the </w:t>
            </w:r>
            <w:r w:rsidR="006B7AE5">
              <w:rPr>
                <w:i/>
              </w:rPr>
              <w:lastRenderedPageBreak/>
              <w:t>Immunization</w:t>
            </w:r>
            <w:r w:rsidR="006B7AE5">
              <w:t xml:space="preserve"> datatypes, it would probably be most appropriate to resolve them in a separate effort that spanned all the datatypes.</w:t>
            </w:r>
          </w:p>
          <w:p w14:paraId="6894F110" w14:textId="77777777" w:rsidR="006B7AE5" w:rsidRDefault="006B7AE5" w:rsidP="006C4616">
            <w:pPr>
              <w:spacing w:before="0" w:after="0"/>
            </w:pPr>
          </w:p>
          <w:p w14:paraId="1A517602" w14:textId="22B07170" w:rsidR="006B7AE5" w:rsidRDefault="006B7AE5" w:rsidP="006C4616">
            <w:pPr>
              <w:spacing w:before="0" w:after="0"/>
            </w:pPr>
            <w:r>
              <w:t xml:space="preserve">Another participant asked if </w:t>
            </w:r>
            <w:r>
              <w:rPr>
                <w:i/>
              </w:rPr>
              <w:t>Immunization, Recommended</w:t>
            </w:r>
            <w:r>
              <w:t xml:space="preserve"> should be included, in order to support the next recommended administration in immunization schedules.  MITRE asked how much value this would have in eCQMs.  While its value is clear for Clinical Decision Support (CDS), its value is less clear in the domain of measurement.  The participant agreed, noting that if schedules were something that measures wanted to address, the schedule logic would likely be in the measure itself.</w:t>
            </w:r>
          </w:p>
          <w:p w14:paraId="65FCA110" w14:textId="77777777" w:rsidR="006B7AE5" w:rsidRDefault="006B7AE5" w:rsidP="006C4616">
            <w:pPr>
              <w:spacing w:before="0" w:after="0"/>
            </w:pPr>
          </w:p>
          <w:p w14:paraId="27BBD8AD" w14:textId="58DE07E9" w:rsidR="006B7AE5" w:rsidRPr="006B7AE5" w:rsidRDefault="006B7AE5" w:rsidP="006C4616">
            <w:pPr>
              <w:spacing w:before="0" w:after="0"/>
            </w:pPr>
            <w:r>
              <w:t xml:space="preserve">MITRE asked for, and received, consensus for advancing the proposed </w:t>
            </w:r>
            <w:r>
              <w:rPr>
                <w:i/>
              </w:rPr>
              <w:t>Immunization</w:t>
            </w:r>
            <w:r>
              <w:t xml:space="preserve"> datatypes.  This solution will allow for better QRDA/C-CDA alignment and will make for clearer measures.  MITRE will continue follow-up investigation and propose the solution to the MCCB when appropriate.</w:t>
            </w:r>
          </w:p>
          <w:p w14:paraId="3312566C" w14:textId="77777777" w:rsidR="006C4616" w:rsidRDefault="006C4616" w:rsidP="006C4616">
            <w:pPr>
              <w:spacing w:before="0" w:after="0"/>
            </w:pPr>
          </w:p>
          <w:p w14:paraId="3E55B3BF" w14:textId="7D4E6654" w:rsidR="006C4616" w:rsidRPr="006C4616" w:rsidRDefault="006C4616" w:rsidP="006C4616">
            <w:pPr>
              <w:spacing w:before="0" w:after="0"/>
            </w:pPr>
          </w:p>
        </w:tc>
      </w:tr>
      <w:tr w:rsidR="00274EA7" w:rsidRPr="00DF7E73" w14:paraId="1BDC6B15" w14:textId="77777777" w:rsidTr="000A7D94">
        <w:trPr>
          <w:trHeight w:val="843"/>
        </w:trPr>
        <w:tc>
          <w:tcPr>
            <w:tcW w:w="1710" w:type="dxa"/>
          </w:tcPr>
          <w:p w14:paraId="39E0C046" w14:textId="34F0F0C5" w:rsidR="00274EA7" w:rsidRPr="00DA451F" w:rsidRDefault="00274EA7" w:rsidP="00E91CFC">
            <w:pPr>
              <w:ind w:left="0"/>
              <w:rPr>
                <w:rFonts w:ascii="Palatino" w:hAnsi="Palatino"/>
              </w:rPr>
            </w:pPr>
          </w:p>
        </w:tc>
        <w:tc>
          <w:tcPr>
            <w:tcW w:w="2746" w:type="dxa"/>
          </w:tcPr>
          <w:p w14:paraId="7E3D06C8" w14:textId="39AC430D" w:rsidR="00274EA7" w:rsidRPr="0068057C" w:rsidRDefault="00B324DD" w:rsidP="00DA451F">
            <w:pPr>
              <w:spacing w:before="0" w:after="0"/>
              <w:ind w:left="0"/>
              <w:rPr>
                <w:rFonts w:ascii="Palatino" w:hAnsi="Palatino"/>
                <w:u w:val="single"/>
              </w:rPr>
            </w:pPr>
            <w:hyperlink r:id="rId15" w:history="1">
              <w:r w:rsidR="00DA451F">
                <w:rPr>
                  <w:rStyle w:val="Hyperlink"/>
                  <w:rFonts w:asciiTheme="minorHAnsi" w:hAnsiTheme="minorHAnsi" w:cstheme="minorBidi"/>
                  <w:color w:val="0000FF"/>
                </w:rPr>
                <w:t>QDM-108</w:t>
              </w:r>
            </w:hyperlink>
            <w:r w:rsidR="00274EA7">
              <w:t xml:space="preserve">: </w:t>
            </w:r>
            <w:r w:rsidR="00DA451F">
              <w:rPr>
                <w:rStyle w:val="Hyperlink"/>
                <w:rFonts w:ascii="Palatino" w:hAnsi="Palatino" w:cstheme="minorBidi"/>
                <w:i/>
                <w:color w:val="auto"/>
                <w:u w:val="none"/>
              </w:rPr>
              <w:t>Patient/Provider Preference</w:t>
            </w:r>
          </w:p>
        </w:tc>
        <w:tc>
          <w:tcPr>
            <w:tcW w:w="9980" w:type="dxa"/>
          </w:tcPr>
          <w:p w14:paraId="73AAB779" w14:textId="48506D01" w:rsidR="00274EA7" w:rsidRPr="00CE72A1" w:rsidRDefault="002D7968" w:rsidP="00B91F09">
            <w:pPr>
              <w:spacing w:before="0" w:after="0"/>
              <w:ind w:left="0"/>
              <w:rPr>
                <w:i/>
              </w:rPr>
            </w:pPr>
            <w:r>
              <w:rPr>
                <w:i/>
              </w:rPr>
              <w:t>Postponed due to lack of time.</w:t>
            </w:r>
          </w:p>
        </w:tc>
      </w:tr>
      <w:tr w:rsidR="00274EA7" w:rsidRPr="00DF7E73" w14:paraId="156C8332" w14:textId="77777777" w:rsidTr="000A7D94">
        <w:trPr>
          <w:trHeight w:val="665"/>
        </w:trPr>
        <w:tc>
          <w:tcPr>
            <w:tcW w:w="1710" w:type="dxa"/>
          </w:tcPr>
          <w:p w14:paraId="2507F02C" w14:textId="0FFBBCEE" w:rsidR="00274EA7" w:rsidRPr="00DA451F" w:rsidRDefault="00274EA7" w:rsidP="00B81AFA">
            <w:pPr>
              <w:ind w:left="0"/>
              <w:rPr>
                <w:rFonts w:ascii="Palatino" w:hAnsi="Palatino"/>
              </w:rPr>
            </w:pPr>
          </w:p>
        </w:tc>
        <w:tc>
          <w:tcPr>
            <w:tcW w:w="2746" w:type="dxa"/>
          </w:tcPr>
          <w:p w14:paraId="3C959E4D" w14:textId="2ABC7D16" w:rsidR="00274EA7" w:rsidRPr="0068057C" w:rsidRDefault="00B324DD" w:rsidP="00DA451F">
            <w:pPr>
              <w:spacing w:before="0" w:after="0"/>
              <w:ind w:left="0"/>
              <w:rPr>
                <w:rStyle w:val="Hyperlink"/>
                <w:rFonts w:ascii="Palatino" w:hAnsi="Palatino" w:cstheme="minorBidi"/>
                <w:color w:val="auto"/>
                <w:u w:val="none"/>
              </w:rPr>
            </w:pPr>
            <w:hyperlink r:id="rId16" w:history="1">
              <w:r w:rsidR="00DA451F">
                <w:rPr>
                  <w:rStyle w:val="Hyperlink"/>
                  <w:rFonts w:asciiTheme="minorHAnsi" w:hAnsiTheme="minorHAnsi" w:cstheme="minorBidi"/>
                  <w:color w:val="0000FF"/>
                </w:rPr>
                <w:t>QDM-109</w:t>
              </w:r>
            </w:hyperlink>
            <w:r w:rsidR="00DA451F">
              <w:t xml:space="preserve">: </w:t>
            </w:r>
            <w:r w:rsidR="00DA451F">
              <w:rPr>
                <w:rStyle w:val="Hyperlink"/>
                <w:rFonts w:ascii="Palatino" w:hAnsi="Palatino" w:cstheme="minorBidi"/>
                <w:i/>
                <w:color w:val="auto"/>
                <w:u w:val="none"/>
              </w:rPr>
              <w:t>Negation Rationale</w:t>
            </w:r>
          </w:p>
        </w:tc>
        <w:tc>
          <w:tcPr>
            <w:tcW w:w="9980" w:type="dxa"/>
          </w:tcPr>
          <w:p w14:paraId="52E6D367" w14:textId="58F8DFB7" w:rsidR="00274EA7" w:rsidRPr="00CE72A1" w:rsidRDefault="002D7968" w:rsidP="00C21D15">
            <w:pPr>
              <w:spacing w:before="0" w:after="0"/>
              <w:ind w:left="0"/>
              <w:rPr>
                <w:rFonts w:ascii="Palatino" w:hAnsi="Palatino" w:cs="Arial"/>
                <w:i/>
                <w:color w:val="333333"/>
              </w:rPr>
            </w:pPr>
            <w:r>
              <w:rPr>
                <w:i/>
              </w:rPr>
              <w:t>Postponed due to lack of time.</w:t>
            </w:r>
          </w:p>
        </w:tc>
      </w:tr>
    </w:tbl>
    <w:p w14:paraId="1C8FE9B2" w14:textId="77777777" w:rsidR="00FE5B4F" w:rsidRDefault="00FE5B4F" w:rsidP="000D4576">
      <w:pPr>
        <w:spacing w:before="0" w:after="0"/>
        <w:ind w:left="0"/>
      </w:pPr>
      <w:bookmarkStart w:id="0" w:name="_GoBack"/>
      <w:bookmarkEnd w:id="0"/>
    </w:p>
    <w:p w14:paraId="580509A2" w14:textId="77777777"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0440"/>
        <w:gridCol w:w="3960"/>
      </w:tblGrid>
      <w:tr w:rsidR="003C5D9B" w:rsidRPr="00FE5B4F" w14:paraId="25B1773B" w14:textId="77777777" w:rsidTr="000A7D94">
        <w:tc>
          <w:tcPr>
            <w:tcW w:w="10440" w:type="dxa"/>
          </w:tcPr>
          <w:p w14:paraId="08EDFB95" w14:textId="77777777" w:rsidR="00FE5B4F" w:rsidRPr="00FE5B4F" w:rsidRDefault="00FE5B4F" w:rsidP="00FE5B4F">
            <w:pPr>
              <w:spacing w:before="0" w:after="0"/>
              <w:ind w:left="0"/>
              <w:rPr>
                <w:b/>
              </w:rPr>
            </w:pPr>
            <w:r w:rsidRPr="00FE5B4F">
              <w:rPr>
                <w:b/>
              </w:rPr>
              <w:t>Action item</w:t>
            </w:r>
          </w:p>
        </w:tc>
        <w:tc>
          <w:tcPr>
            <w:tcW w:w="3960" w:type="dxa"/>
          </w:tcPr>
          <w:p w14:paraId="2CD94179" w14:textId="77777777" w:rsidR="00FE5B4F" w:rsidRPr="00FE5B4F" w:rsidRDefault="00FE5B4F" w:rsidP="00FE5B4F">
            <w:pPr>
              <w:spacing w:before="0" w:after="0"/>
              <w:ind w:left="0"/>
              <w:rPr>
                <w:b/>
              </w:rPr>
            </w:pPr>
            <w:r w:rsidRPr="00FE5B4F">
              <w:rPr>
                <w:b/>
              </w:rPr>
              <w:t>Assignee</w:t>
            </w:r>
          </w:p>
        </w:tc>
      </w:tr>
      <w:tr w:rsidR="00DA451F" w14:paraId="2FF4BEFE" w14:textId="77777777" w:rsidTr="000A7D94">
        <w:tc>
          <w:tcPr>
            <w:tcW w:w="10440" w:type="dxa"/>
          </w:tcPr>
          <w:p w14:paraId="6876EAAF" w14:textId="2E37ABCF" w:rsidR="00DA451F" w:rsidRPr="0058222F" w:rsidRDefault="00B324DD" w:rsidP="00FE5B4F">
            <w:pPr>
              <w:spacing w:before="0" w:after="0"/>
              <w:ind w:left="0"/>
            </w:pPr>
            <w:r>
              <w:t>Follow up on QDM-103 w/ stakeholders and present to MCCB after further validation</w:t>
            </w:r>
          </w:p>
        </w:tc>
        <w:tc>
          <w:tcPr>
            <w:tcW w:w="3960" w:type="dxa"/>
          </w:tcPr>
          <w:p w14:paraId="351634CF" w14:textId="28C6F62C" w:rsidR="00DA451F" w:rsidRDefault="00B324DD" w:rsidP="00FE5B4F">
            <w:pPr>
              <w:spacing w:before="0" w:after="0"/>
              <w:ind w:left="0"/>
            </w:pPr>
            <w:r>
              <w:t>MITRE</w:t>
            </w:r>
          </w:p>
        </w:tc>
      </w:tr>
      <w:tr w:rsidR="00DA451F" w14:paraId="270240A2" w14:textId="77777777" w:rsidTr="000A7D94">
        <w:tc>
          <w:tcPr>
            <w:tcW w:w="10440" w:type="dxa"/>
          </w:tcPr>
          <w:p w14:paraId="28E82C41" w14:textId="42FF0B16" w:rsidR="00DA451F" w:rsidRPr="0058222F" w:rsidRDefault="00B324DD" w:rsidP="00FE5B4F">
            <w:pPr>
              <w:spacing w:before="0" w:after="0"/>
              <w:ind w:left="0"/>
            </w:pPr>
            <w:r>
              <w:t xml:space="preserve">Follow up on QDM-87 </w:t>
            </w:r>
            <w:r>
              <w:t>w/ stakeholders and present to MCCB after further validation</w:t>
            </w:r>
          </w:p>
        </w:tc>
        <w:tc>
          <w:tcPr>
            <w:tcW w:w="3960" w:type="dxa"/>
          </w:tcPr>
          <w:p w14:paraId="6DF69014" w14:textId="4D592714" w:rsidR="00DA451F" w:rsidRDefault="00B324DD" w:rsidP="00FE5B4F">
            <w:pPr>
              <w:spacing w:before="0" w:after="0"/>
              <w:ind w:left="0"/>
            </w:pPr>
            <w:r>
              <w:t>MITRE</w:t>
            </w:r>
          </w:p>
        </w:tc>
      </w:tr>
    </w:tbl>
    <w:p w14:paraId="1C3D69AA" w14:textId="77777777" w:rsidR="00B1068A" w:rsidRDefault="00B1068A" w:rsidP="006525C5">
      <w:pPr>
        <w:spacing w:before="0" w:after="0"/>
        <w:ind w:left="0"/>
      </w:pPr>
    </w:p>
    <w:sectPr w:rsidR="00B1068A" w:rsidSect="000138D0">
      <w:footerReference w:type="even" r:id="rId17"/>
      <w:footerReference w:type="defaul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DA5B7A" w:rsidRDefault="00DA5B7A">
      <w:r>
        <w:separator/>
      </w:r>
    </w:p>
    <w:p w14:paraId="2994D740" w14:textId="77777777" w:rsidR="00DA5B7A" w:rsidRDefault="00DA5B7A"/>
    <w:p w14:paraId="4E128545" w14:textId="77777777" w:rsidR="00DA5B7A" w:rsidRDefault="00DA5B7A"/>
  </w:endnote>
  <w:endnote w:type="continuationSeparator" w:id="0">
    <w:p w14:paraId="18F2E1E3" w14:textId="77777777" w:rsidR="00DA5B7A" w:rsidRDefault="00DA5B7A">
      <w:r>
        <w:continuationSeparator/>
      </w:r>
    </w:p>
    <w:p w14:paraId="38D06D99" w14:textId="77777777" w:rsidR="00DA5B7A" w:rsidRDefault="00DA5B7A"/>
    <w:p w14:paraId="2F095FE6" w14:textId="77777777" w:rsidR="00DA5B7A" w:rsidRDefault="00DA5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DA5B7A" w:rsidRDefault="00DA5B7A"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DA5B7A" w:rsidRDefault="00DA5B7A"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DA5B7A" w:rsidRPr="00625C47" w:rsidRDefault="00DA5B7A"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B324DD">
      <w:rPr>
        <w:rStyle w:val="PageNumber"/>
        <w:rFonts w:ascii="Arial" w:hAnsi="Arial"/>
        <w:noProof/>
        <w:sz w:val="16"/>
        <w:szCs w:val="16"/>
      </w:rPr>
      <w:t>4</w:t>
    </w:r>
    <w:r w:rsidRPr="00625C47">
      <w:rPr>
        <w:rStyle w:val="PageNumber"/>
        <w:rFonts w:ascii="Arial" w:hAnsi="Arial"/>
        <w:sz w:val="16"/>
        <w:szCs w:val="16"/>
      </w:rPr>
      <w:fldChar w:fldCharType="end"/>
    </w:r>
  </w:p>
  <w:p w14:paraId="39081870" w14:textId="77777777" w:rsidR="00DA5B7A" w:rsidRDefault="00DA5B7A"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DA5B7A" w:rsidRDefault="00DA5B7A">
      <w:r>
        <w:separator/>
      </w:r>
    </w:p>
    <w:p w14:paraId="7714B3A4" w14:textId="77777777" w:rsidR="00DA5B7A" w:rsidRDefault="00DA5B7A"/>
    <w:p w14:paraId="703C88F2" w14:textId="77777777" w:rsidR="00DA5B7A" w:rsidRDefault="00DA5B7A"/>
  </w:footnote>
  <w:footnote w:type="continuationSeparator" w:id="0">
    <w:p w14:paraId="117429E0" w14:textId="77777777" w:rsidR="00DA5B7A" w:rsidRDefault="00DA5B7A">
      <w:r>
        <w:continuationSeparator/>
      </w:r>
    </w:p>
    <w:p w14:paraId="30773B03" w14:textId="77777777" w:rsidR="00DA5B7A" w:rsidRDefault="00DA5B7A"/>
    <w:p w14:paraId="691FA440" w14:textId="77777777" w:rsidR="00DA5B7A" w:rsidRDefault="00DA5B7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04BDA"/>
    <w:multiLevelType w:val="hybridMultilevel"/>
    <w:tmpl w:val="7D6E5280"/>
    <w:lvl w:ilvl="0" w:tplc="62BC2034">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976DA8"/>
    <w:multiLevelType w:val="hybridMultilevel"/>
    <w:tmpl w:val="3B2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5">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6">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1DCD0665"/>
    <w:multiLevelType w:val="hybridMultilevel"/>
    <w:tmpl w:val="E928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E10E4C"/>
    <w:multiLevelType w:val="hybridMultilevel"/>
    <w:tmpl w:val="5D0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CD4E4C"/>
    <w:multiLevelType w:val="hybridMultilevel"/>
    <w:tmpl w:val="160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F66A9"/>
    <w:multiLevelType w:val="hybridMultilevel"/>
    <w:tmpl w:val="6A2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B9214F7"/>
    <w:multiLevelType w:val="hybridMultilevel"/>
    <w:tmpl w:val="E582404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7">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28">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5946A4"/>
    <w:multiLevelType w:val="hybridMultilevel"/>
    <w:tmpl w:val="A90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C52215"/>
    <w:multiLevelType w:val="hybridMultilevel"/>
    <w:tmpl w:val="632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7">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0">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41">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6F6B1A16"/>
    <w:multiLevelType w:val="hybridMultilevel"/>
    <w:tmpl w:val="D85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nsid w:val="753D6B00"/>
    <w:multiLevelType w:val="hybridMultilevel"/>
    <w:tmpl w:val="5F1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2"/>
  </w:num>
  <w:num w:numId="13">
    <w:abstractNumId w:val="20"/>
  </w:num>
  <w:num w:numId="14">
    <w:abstractNumId w:val="28"/>
  </w:num>
  <w:num w:numId="15">
    <w:abstractNumId w:val="18"/>
  </w:num>
  <w:num w:numId="16">
    <w:abstractNumId w:val="19"/>
  </w:num>
  <w:num w:numId="17">
    <w:abstractNumId w:val="39"/>
  </w:num>
  <w:num w:numId="18">
    <w:abstractNumId w:val="14"/>
  </w:num>
  <w:num w:numId="19">
    <w:abstractNumId w:val="43"/>
  </w:num>
  <w:num w:numId="20">
    <w:abstractNumId w:val="33"/>
  </w:num>
  <w:num w:numId="21">
    <w:abstractNumId w:val="40"/>
  </w:num>
  <w:num w:numId="22">
    <w:abstractNumId w:val="41"/>
  </w:num>
  <w:num w:numId="23">
    <w:abstractNumId w:val="45"/>
  </w:num>
  <w:num w:numId="24">
    <w:abstractNumId w:val="36"/>
  </w:num>
  <w:num w:numId="25">
    <w:abstractNumId w:val="17"/>
  </w:num>
  <w:num w:numId="26">
    <w:abstractNumId w:val="16"/>
  </w:num>
  <w:num w:numId="27">
    <w:abstractNumId w:val="25"/>
  </w:num>
  <w:num w:numId="28">
    <w:abstractNumId w:val="27"/>
  </w:num>
  <w:num w:numId="29">
    <w:abstractNumId w:val="29"/>
  </w:num>
  <w:num w:numId="30">
    <w:abstractNumId w:val="31"/>
  </w:num>
  <w:num w:numId="31">
    <w:abstractNumId w:val="15"/>
  </w:num>
  <w:num w:numId="32">
    <w:abstractNumId w:val="13"/>
  </w:num>
  <w:num w:numId="33">
    <w:abstractNumId w:val="30"/>
  </w:num>
  <w:num w:numId="34">
    <w:abstractNumId w:val="37"/>
  </w:num>
  <w:num w:numId="35">
    <w:abstractNumId w:val="10"/>
  </w:num>
  <w:num w:numId="36">
    <w:abstractNumId w:val="11"/>
  </w:num>
  <w:num w:numId="37">
    <w:abstractNumId w:val="42"/>
  </w:num>
  <w:num w:numId="38">
    <w:abstractNumId w:val="24"/>
  </w:num>
  <w:num w:numId="39">
    <w:abstractNumId w:val="35"/>
  </w:num>
  <w:num w:numId="40">
    <w:abstractNumId w:val="21"/>
  </w:num>
  <w:num w:numId="41">
    <w:abstractNumId w:val="34"/>
  </w:num>
  <w:num w:numId="42">
    <w:abstractNumId w:val="26"/>
  </w:num>
  <w:num w:numId="43">
    <w:abstractNumId w:val="22"/>
  </w:num>
  <w:num w:numId="44">
    <w:abstractNumId w:val="12"/>
  </w:num>
  <w:num w:numId="45">
    <w:abstractNumId w:val="2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38D0"/>
    <w:rsid w:val="00020BC1"/>
    <w:rsid w:val="00021A42"/>
    <w:rsid w:val="00021A99"/>
    <w:rsid w:val="00022574"/>
    <w:rsid w:val="000227DF"/>
    <w:rsid w:val="0002364E"/>
    <w:rsid w:val="00025188"/>
    <w:rsid w:val="00025785"/>
    <w:rsid w:val="0002596C"/>
    <w:rsid w:val="000268D1"/>
    <w:rsid w:val="000273DD"/>
    <w:rsid w:val="00030D12"/>
    <w:rsid w:val="000338D6"/>
    <w:rsid w:val="00033D0A"/>
    <w:rsid w:val="00040017"/>
    <w:rsid w:val="000405F7"/>
    <w:rsid w:val="00042538"/>
    <w:rsid w:val="00043F1A"/>
    <w:rsid w:val="000503CE"/>
    <w:rsid w:val="00051D85"/>
    <w:rsid w:val="00052A94"/>
    <w:rsid w:val="000561D6"/>
    <w:rsid w:val="00060245"/>
    <w:rsid w:val="000640D0"/>
    <w:rsid w:val="00064824"/>
    <w:rsid w:val="000709FF"/>
    <w:rsid w:val="00070D45"/>
    <w:rsid w:val="00071029"/>
    <w:rsid w:val="00071574"/>
    <w:rsid w:val="00074242"/>
    <w:rsid w:val="00074558"/>
    <w:rsid w:val="0007715F"/>
    <w:rsid w:val="000777C3"/>
    <w:rsid w:val="00082EA8"/>
    <w:rsid w:val="000853F8"/>
    <w:rsid w:val="00087002"/>
    <w:rsid w:val="00087E1F"/>
    <w:rsid w:val="00090B09"/>
    <w:rsid w:val="00091EB1"/>
    <w:rsid w:val="00091F94"/>
    <w:rsid w:val="0009316F"/>
    <w:rsid w:val="000A1B7D"/>
    <w:rsid w:val="000A25A9"/>
    <w:rsid w:val="000A2ECD"/>
    <w:rsid w:val="000A38A5"/>
    <w:rsid w:val="000A7D94"/>
    <w:rsid w:val="000A7F78"/>
    <w:rsid w:val="000B0DAC"/>
    <w:rsid w:val="000B12EC"/>
    <w:rsid w:val="000B3F83"/>
    <w:rsid w:val="000B4C15"/>
    <w:rsid w:val="000B6CB4"/>
    <w:rsid w:val="000C03AB"/>
    <w:rsid w:val="000C2B28"/>
    <w:rsid w:val="000C5B55"/>
    <w:rsid w:val="000C5E36"/>
    <w:rsid w:val="000D0BAF"/>
    <w:rsid w:val="000D4576"/>
    <w:rsid w:val="000D76A1"/>
    <w:rsid w:val="000E1193"/>
    <w:rsid w:val="000E42B1"/>
    <w:rsid w:val="000F22BF"/>
    <w:rsid w:val="000F2FD7"/>
    <w:rsid w:val="000F5217"/>
    <w:rsid w:val="000F5535"/>
    <w:rsid w:val="000F6912"/>
    <w:rsid w:val="000F7134"/>
    <w:rsid w:val="001045FF"/>
    <w:rsid w:val="001048FB"/>
    <w:rsid w:val="00106A2D"/>
    <w:rsid w:val="0010744B"/>
    <w:rsid w:val="00107D25"/>
    <w:rsid w:val="00110F6E"/>
    <w:rsid w:val="001128B4"/>
    <w:rsid w:val="00112F50"/>
    <w:rsid w:val="00116143"/>
    <w:rsid w:val="0012132B"/>
    <w:rsid w:val="001252CE"/>
    <w:rsid w:val="00125A1E"/>
    <w:rsid w:val="00126C1E"/>
    <w:rsid w:val="00126E12"/>
    <w:rsid w:val="001338A7"/>
    <w:rsid w:val="00134031"/>
    <w:rsid w:val="0013490B"/>
    <w:rsid w:val="001353D2"/>
    <w:rsid w:val="00135963"/>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FD"/>
    <w:rsid w:val="00166904"/>
    <w:rsid w:val="001671AE"/>
    <w:rsid w:val="00167835"/>
    <w:rsid w:val="00171871"/>
    <w:rsid w:val="0017453D"/>
    <w:rsid w:val="001811C0"/>
    <w:rsid w:val="00184A24"/>
    <w:rsid w:val="00185AA8"/>
    <w:rsid w:val="00187A1B"/>
    <w:rsid w:val="00190DB8"/>
    <w:rsid w:val="0019150E"/>
    <w:rsid w:val="00191BFB"/>
    <w:rsid w:val="001933D1"/>
    <w:rsid w:val="00193B0C"/>
    <w:rsid w:val="00194E05"/>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3893"/>
    <w:rsid w:val="001C7078"/>
    <w:rsid w:val="001C70AC"/>
    <w:rsid w:val="001D0DC0"/>
    <w:rsid w:val="001D53C4"/>
    <w:rsid w:val="001D54DD"/>
    <w:rsid w:val="001D75B0"/>
    <w:rsid w:val="001E3656"/>
    <w:rsid w:val="001E5CA7"/>
    <w:rsid w:val="001E6268"/>
    <w:rsid w:val="001F49DD"/>
    <w:rsid w:val="001F4A68"/>
    <w:rsid w:val="001F56EA"/>
    <w:rsid w:val="001F675C"/>
    <w:rsid w:val="001F7DB1"/>
    <w:rsid w:val="00200302"/>
    <w:rsid w:val="002003BB"/>
    <w:rsid w:val="00200F44"/>
    <w:rsid w:val="0020251F"/>
    <w:rsid w:val="002029F3"/>
    <w:rsid w:val="00210DAE"/>
    <w:rsid w:val="00212750"/>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9BD"/>
    <w:rsid w:val="00246915"/>
    <w:rsid w:val="00246940"/>
    <w:rsid w:val="00246E00"/>
    <w:rsid w:val="0025149B"/>
    <w:rsid w:val="00251D6C"/>
    <w:rsid w:val="0025476D"/>
    <w:rsid w:val="00255BD3"/>
    <w:rsid w:val="00257325"/>
    <w:rsid w:val="00257765"/>
    <w:rsid w:val="00257C1A"/>
    <w:rsid w:val="00262558"/>
    <w:rsid w:val="00262E08"/>
    <w:rsid w:val="002662CA"/>
    <w:rsid w:val="00266E95"/>
    <w:rsid w:val="00274EA7"/>
    <w:rsid w:val="0027548F"/>
    <w:rsid w:val="0027566D"/>
    <w:rsid w:val="00275AE9"/>
    <w:rsid w:val="00277631"/>
    <w:rsid w:val="002836A2"/>
    <w:rsid w:val="002945E4"/>
    <w:rsid w:val="002947D8"/>
    <w:rsid w:val="00296732"/>
    <w:rsid w:val="002A01C3"/>
    <w:rsid w:val="002A2FD3"/>
    <w:rsid w:val="002A3C68"/>
    <w:rsid w:val="002A4B46"/>
    <w:rsid w:val="002B3102"/>
    <w:rsid w:val="002B31B0"/>
    <w:rsid w:val="002C0111"/>
    <w:rsid w:val="002C0A3B"/>
    <w:rsid w:val="002C17B2"/>
    <w:rsid w:val="002C2D35"/>
    <w:rsid w:val="002D2F0A"/>
    <w:rsid w:val="002D3020"/>
    <w:rsid w:val="002D4911"/>
    <w:rsid w:val="002D65E3"/>
    <w:rsid w:val="002D7968"/>
    <w:rsid w:val="002E0BBE"/>
    <w:rsid w:val="002F188A"/>
    <w:rsid w:val="002F19D9"/>
    <w:rsid w:val="003006BD"/>
    <w:rsid w:val="00302502"/>
    <w:rsid w:val="00303948"/>
    <w:rsid w:val="003048A0"/>
    <w:rsid w:val="00307A50"/>
    <w:rsid w:val="0031023F"/>
    <w:rsid w:val="0031145B"/>
    <w:rsid w:val="00313351"/>
    <w:rsid w:val="0031456C"/>
    <w:rsid w:val="00320A0A"/>
    <w:rsid w:val="00322479"/>
    <w:rsid w:val="00324D9A"/>
    <w:rsid w:val="00325106"/>
    <w:rsid w:val="003263FD"/>
    <w:rsid w:val="00326E9B"/>
    <w:rsid w:val="00327821"/>
    <w:rsid w:val="00330995"/>
    <w:rsid w:val="00331616"/>
    <w:rsid w:val="00331AD3"/>
    <w:rsid w:val="003345D1"/>
    <w:rsid w:val="00337963"/>
    <w:rsid w:val="00341AF3"/>
    <w:rsid w:val="00342F3D"/>
    <w:rsid w:val="003453EF"/>
    <w:rsid w:val="003456A9"/>
    <w:rsid w:val="00346964"/>
    <w:rsid w:val="003506C0"/>
    <w:rsid w:val="00351961"/>
    <w:rsid w:val="00354C88"/>
    <w:rsid w:val="003557D0"/>
    <w:rsid w:val="00356DEF"/>
    <w:rsid w:val="003624B6"/>
    <w:rsid w:val="00363C57"/>
    <w:rsid w:val="00363DD0"/>
    <w:rsid w:val="003653D3"/>
    <w:rsid w:val="00366CCF"/>
    <w:rsid w:val="00372FD2"/>
    <w:rsid w:val="003734DB"/>
    <w:rsid w:val="00375094"/>
    <w:rsid w:val="00375D90"/>
    <w:rsid w:val="0037665B"/>
    <w:rsid w:val="00380477"/>
    <w:rsid w:val="00385CDC"/>
    <w:rsid w:val="0038629F"/>
    <w:rsid w:val="00386529"/>
    <w:rsid w:val="003935B2"/>
    <w:rsid w:val="003945BD"/>
    <w:rsid w:val="003966A3"/>
    <w:rsid w:val="003A4738"/>
    <w:rsid w:val="003B0BE6"/>
    <w:rsid w:val="003B45F3"/>
    <w:rsid w:val="003B6064"/>
    <w:rsid w:val="003B6A51"/>
    <w:rsid w:val="003B7040"/>
    <w:rsid w:val="003C59F6"/>
    <w:rsid w:val="003C5D9B"/>
    <w:rsid w:val="003D0221"/>
    <w:rsid w:val="003D0C89"/>
    <w:rsid w:val="003D4612"/>
    <w:rsid w:val="003D52A0"/>
    <w:rsid w:val="003D66B5"/>
    <w:rsid w:val="003D6FC4"/>
    <w:rsid w:val="003E052A"/>
    <w:rsid w:val="003E0B0C"/>
    <w:rsid w:val="003E1821"/>
    <w:rsid w:val="003E315B"/>
    <w:rsid w:val="003E362A"/>
    <w:rsid w:val="003E4B21"/>
    <w:rsid w:val="003E575A"/>
    <w:rsid w:val="003E650A"/>
    <w:rsid w:val="003E7C00"/>
    <w:rsid w:val="003F037C"/>
    <w:rsid w:val="003F0639"/>
    <w:rsid w:val="003F0CAC"/>
    <w:rsid w:val="003F23B0"/>
    <w:rsid w:val="0040233D"/>
    <w:rsid w:val="00405474"/>
    <w:rsid w:val="00407930"/>
    <w:rsid w:val="004113A4"/>
    <w:rsid w:val="00414A8D"/>
    <w:rsid w:val="00417A22"/>
    <w:rsid w:val="00420A1A"/>
    <w:rsid w:val="00427071"/>
    <w:rsid w:val="00431AED"/>
    <w:rsid w:val="00432DD5"/>
    <w:rsid w:val="00433F56"/>
    <w:rsid w:val="004415E9"/>
    <w:rsid w:val="004420D3"/>
    <w:rsid w:val="00443C85"/>
    <w:rsid w:val="00452AB9"/>
    <w:rsid w:val="004563E1"/>
    <w:rsid w:val="0045756F"/>
    <w:rsid w:val="0045780B"/>
    <w:rsid w:val="00466276"/>
    <w:rsid w:val="00471463"/>
    <w:rsid w:val="00475057"/>
    <w:rsid w:val="004778A8"/>
    <w:rsid w:val="0048035E"/>
    <w:rsid w:val="0048075A"/>
    <w:rsid w:val="00484C8E"/>
    <w:rsid w:val="004879C2"/>
    <w:rsid w:val="00487AEC"/>
    <w:rsid w:val="004941E3"/>
    <w:rsid w:val="004949E7"/>
    <w:rsid w:val="004951E6"/>
    <w:rsid w:val="0049549D"/>
    <w:rsid w:val="00496376"/>
    <w:rsid w:val="00497773"/>
    <w:rsid w:val="004A1E1C"/>
    <w:rsid w:val="004A4983"/>
    <w:rsid w:val="004A54CE"/>
    <w:rsid w:val="004B70D4"/>
    <w:rsid w:val="004C2947"/>
    <w:rsid w:val="004C2DBA"/>
    <w:rsid w:val="004C2E44"/>
    <w:rsid w:val="004C2F71"/>
    <w:rsid w:val="004C34BF"/>
    <w:rsid w:val="004C7193"/>
    <w:rsid w:val="004D22FF"/>
    <w:rsid w:val="004D288B"/>
    <w:rsid w:val="004D3A0B"/>
    <w:rsid w:val="004D476A"/>
    <w:rsid w:val="004D58D8"/>
    <w:rsid w:val="004E1509"/>
    <w:rsid w:val="004E326D"/>
    <w:rsid w:val="004E639D"/>
    <w:rsid w:val="004E7B80"/>
    <w:rsid w:val="004F0911"/>
    <w:rsid w:val="004F3C01"/>
    <w:rsid w:val="004F5785"/>
    <w:rsid w:val="00502396"/>
    <w:rsid w:val="00503B7C"/>
    <w:rsid w:val="00505CB1"/>
    <w:rsid w:val="00510D51"/>
    <w:rsid w:val="00531C37"/>
    <w:rsid w:val="005326DF"/>
    <w:rsid w:val="0053286A"/>
    <w:rsid w:val="00533AFA"/>
    <w:rsid w:val="00537EB8"/>
    <w:rsid w:val="005411A2"/>
    <w:rsid w:val="00543700"/>
    <w:rsid w:val="005512A6"/>
    <w:rsid w:val="00552D63"/>
    <w:rsid w:val="00552E99"/>
    <w:rsid w:val="005530B3"/>
    <w:rsid w:val="0055478C"/>
    <w:rsid w:val="005566EC"/>
    <w:rsid w:val="005579E5"/>
    <w:rsid w:val="00560459"/>
    <w:rsid w:val="0056078B"/>
    <w:rsid w:val="005607C3"/>
    <w:rsid w:val="00566B53"/>
    <w:rsid w:val="00566C59"/>
    <w:rsid w:val="005672A5"/>
    <w:rsid w:val="005675A5"/>
    <w:rsid w:val="005711A8"/>
    <w:rsid w:val="005714F1"/>
    <w:rsid w:val="00571F73"/>
    <w:rsid w:val="00572CBA"/>
    <w:rsid w:val="00572E20"/>
    <w:rsid w:val="005730FD"/>
    <w:rsid w:val="005765A1"/>
    <w:rsid w:val="00576F5D"/>
    <w:rsid w:val="0058222F"/>
    <w:rsid w:val="005842C5"/>
    <w:rsid w:val="0058765E"/>
    <w:rsid w:val="00590CAA"/>
    <w:rsid w:val="00593DE5"/>
    <w:rsid w:val="00594290"/>
    <w:rsid w:val="00594443"/>
    <w:rsid w:val="00597255"/>
    <w:rsid w:val="00597795"/>
    <w:rsid w:val="005A2206"/>
    <w:rsid w:val="005A234C"/>
    <w:rsid w:val="005A5F32"/>
    <w:rsid w:val="005A6103"/>
    <w:rsid w:val="005A7D68"/>
    <w:rsid w:val="005B259D"/>
    <w:rsid w:val="005B4DF6"/>
    <w:rsid w:val="005B5FBD"/>
    <w:rsid w:val="005B6309"/>
    <w:rsid w:val="005B70AE"/>
    <w:rsid w:val="005C0FD8"/>
    <w:rsid w:val="005C5995"/>
    <w:rsid w:val="005C6166"/>
    <w:rsid w:val="005D3090"/>
    <w:rsid w:val="005D417A"/>
    <w:rsid w:val="005D5011"/>
    <w:rsid w:val="005D7B39"/>
    <w:rsid w:val="005E052F"/>
    <w:rsid w:val="005E250C"/>
    <w:rsid w:val="005E2CFB"/>
    <w:rsid w:val="005E4969"/>
    <w:rsid w:val="005E4B4F"/>
    <w:rsid w:val="005E6799"/>
    <w:rsid w:val="005F474A"/>
    <w:rsid w:val="005F4C49"/>
    <w:rsid w:val="005F5708"/>
    <w:rsid w:val="006007C2"/>
    <w:rsid w:val="00607E75"/>
    <w:rsid w:val="00610CBE"/>
    <w:rsid w:val="00612F73"/>
    <w:rsid w:val="00614AFE"/>
    <w:rsid w:val="00617468"/>
    <w:rsid w:val="006179BC"/>
    <w:rsid w:val="00617A4D"/>
    <w:rsid w:val="0062160F"/>
    <w:rsid w:val="0062245F"/>
    <w:rsid w:val="00623F3A"/>
    <w:rsid w:val="00625C47"/>
    <w:rsid w:val="006325F9"/>
    <w:rsid w:val="00632BA4"/>
    <w:rsid w:val="0063416B"/>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72F2"/>
    <w:rsid w:val="006600DC"/>
    <w:rsid w:val="00661A06"/>
    <w:rsid w:val="006647FD"/>
    <w:rsid w:val="00664C6A"/>
    <w:rsid w:val="0066596C"/>
    <w:rsid w:val="00667787"/>
    <w:rsid w:val="00667F5D"/>
    <w:rsid w:val="0067237B"/>
    <w:rsid w:val="00674EFD"/>
    <w:rsid w:val="00675241"/>
    <w:rsid w:val="006757D8"/>
    <w:rsid w:val="00676532"/>
    <w:rsid w:val="0067750D"/>
    <w:rsid w:val="006801A9"/>
    <w:rsid w:val="0068057C"/>
    <w:rsid w:val="00681F50"/>
    <w:rsid w:val="00687A1E"/>
    <w:rsid w:val="0069095A"/>
    <w:rsid w:val="00692F95"/>
    <w:rsid w:val="006A0EB8"/>
    <w:rsid w:val="006A3CB3"/>
    <w:rsid w:val="006A630C"/>
    <w:rsid w:val="006B3644"/>
    <w:rsid w:val="006B3E9A"/>
    <w:rsid w:val="006B6022"/>
    <w:rsid w:val="006B65F3"/>
    <w:rsid w:val="006B7AE5"/>
    <w:rsid w:val="006B7DA6"/>
    <w:rsid w:val="006C360A"/>
    <w:rsid w:val="006C4616"/>
    <w:rsid w:val="006C5668"/>
    <w:rsid w:val="006C7C89"/>
    <w:rsid w:val="006D04CB"/>
    <w:rsid w:val="006D375E"/>
    <w:rsid w:val="006D5449"/>
    <w:rsid w:val="006D589F"/>
    <w:rsid w:val="006E084A"/>
    <w:rsid w:val="006E30B5"/>
    <w:rsid w:val="006E43A5"/>
    <w:rsid w:val="006E7CBD"/>
    <w:rsid w:val="006F0CC5"/>
    <w:rsid w:val="006F0E3D"/>
    <w:rsid w:val="006F63E5"/>
    <w:rsid w:val="006F687A"/>
    <w:rsid w:val="0070019B"/>
    <w:rsid w:val="0070186E"/>
    <w:rsid w:val="007035B0"/>
    <w:rsid w:val="0070379B"/>
    <w:rsid w:val="007042B6"/>
    <w:rsid w:val="00705215"/>
    <w:rsid w:val="007112A7"/>
    <w:rsid w:val="00711D57"/>
    <w:rsid w:val="0071291B"/>
    <w:rsid w:val="0071549F"/>
    <w:rsid w:val="00720650"/>
    <w:rsid w:val="007227D8"/>
    <w:rsid w:val="007230EA"/>
    <w:rsid w:val="00727106"/>
    <w:rsid w:val="0073211F"/>
    <w:rsid w:val="0073287F"/>
    <w:rsid w:val="00732F3A"/>
    <w:rsid w:val="00736B8C"/>
    <w:rsid w:val="007407DB"/>
    <w:rsid w:val="00743373"/>
    <w:rsid w:val="007436F7"/>
    <w:rsid w:val="007461BA"/>
    <w:rsid w:val="007470AD"/>
    <w:rsid w:val="00750110"/>
    <w:rsid w:val="00750794"/>
    <w:rsid w:val="007519C7"/>
    <w:rsid w:val="007536D8"/>
    <w:rsid w:val="00753B63"/>
    <w:rsid w:val="00753DDD"/>
    <w:rsid w:val="00757439"/>
    <w:rsid w:val="00761110"/>
    <w:rsid w:val="00761E12"/>
    <w:rsid w:val="007642CF"/>
    <w:rsid w:val="00766759"/>
    <w:rsid w:val="007707AD"/>
    <w:rsid w:val="00770E54"/>
    <w:rsid w:val="00771B96"/>
    <w:rsid w:val="00773601"/>
    <w:rsid w:val="0077714C"/>
    <w:rsid w:val="007776AC"/>
    <w:rsid w:val="00777E5A"/>
    <w:rsid w:val="00780BD1"/>
    <w:rsid w:val="00782D3E"/>
    <w:rsid w:val="00783D00"/>
    <w:rsid w:val="007859CD"/>
    <w:rsid w:val="0079008B"/>
    <w:rsid w:val="007905DB"/>
    <w:rsid w:val="00792D78"/>
    <w:rsid w:val="007932E9"/>
    <w:rsid w:val="007A34A2"/>
    <w:rsid w:val="007A5CC8"/>
    <w:rsid w:val="007A62BC"/>
    <w:rsid w:val="007B0106"/>
    <w:rsid w:val="007B1BD8"/>
    <w:rsid w:val="007C0E75"/>
    <w:rsid w:val="007C414E"/>
    <w:rsid w:val="007C680F"/>
    <w:rsid w:val="007D17CA"/>
    <w:rsid w:val="007D2101"/>
    <w:rsid w:val="007D49A1"/>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49C"/>
    <w:rsid w:val="00811CD7"/>
    <w:rsid w:val="0081686E"/>
    <w:rsid w:val="00822569"/>
    <w:rsid w:val="00823427"/>
    <w:rsid w:val="0082360C"/>
    <w:rsid w:val="00825A97"/>
    <w:rsid w:val="008302C9"/>
    <w:rsid w:val="008309B4"/>
    <w:rsid w:val="008362D5"/>
    <w:rsid w:val="008408B1"/>
    <w:rsid w:val="008435FF"/>
    <w:rsid w:val="00843693"/>
    <w:rsid w:val="008443BC"/>
    <w:rsid w:val="00844A61"/>
    <w:rsid w:val="008508F4"/>
    <w:rsid w:val="00853A12"/>
    <w:rsid w:val="008648E4"/>
    <w:rsid w:val="008654D2"/>
    <w:rsid w:val="00870549"/>
    <w:rsid w:val="008721D0"/>
    <w:rsid w:val="00872F9B"/>
    <w:rsid w:val="00877239"/>
    <w:rsid w:val="00877B5D"/>
    <w:rsid w:val="0088132E"/>
    <w:rsid w:val="00881870"/>
    <w:rsid w:val="00881A98"/>
    <w:rsid w:val="00882182"/>
    <w:rsid w:val="0088680A"/>
    <w:rsid w:val="008871D8"/>
    <w:rsid w:val="0089098A"/>
    <w:rsid w:val="00892526"/>
    <w:rsid w:val="00892EC5"/>
    <w:rsid w:val="00893111"/>
    <w:rsid w:val="008A09FB"/>
    <w:rsid w:val="008A3CDD"/>
    <w:rsid w:val="008A4B7E"/>
    <w:rsid w:val="008A7C49"/>
    <w:rsid w:val="008B1FAC"/>
    <w:rsid w:val="008B2C07"/>
    <w:rsid w:val="008B34F4"/>
    <w:rsid w:val="008B40CC"/>
    <w:rsid w:val="008B56AC"/>
    <w:rsid w:val="008B6E21"/>
    <w:rsid w:val="008B7EAD"/>
    <w:rsid w:val="008C1373"/>
    <w:rsid w:val="008C264D"/>
    <w:rsid w:val="008C4E66"/>
    <w:rsid w:val="008C77D3"/>
    <w:rsid w:val="008D661A"/>
    <w:rsid w:val="008D6DFA"/>
    <w:rsid w:val="008E4193"/>
    <w:rsid w:val="008E5F6D"/>
    <w:rsid w:val="008E6177"/>
    <w:rsid w:val="008F2043"/>
    <w:rsid w:val="008F3C52"/>
    <w:rsid w:val="008F4D79"/>
    <w:rsid w:val="008F5158"/>
    <w:rsid w:val="009005AE"/>
    <w:rsid w:val="00901313"/>
    <w:rsid w:val="00904F21"/>
    <w:rsid w:val="009144BA"/>
    <w:rsid w:val="0091507D"/>
    <w:rsid w:val="0091583B"/>
    <w:rsid w:val="00916C3E"/>
    <w:rsid w:val="009201F3"/>
    <w:rsid w:val="0092098D"/>
    <w:rsid w:val="00921593"/>
    <w:rsid w:val="00921660"/>
    <w:rsid w:val="009254C0"/>
    <w:rsid w:val="00927452"/>
    <w:rsid w:val="00927AEB"/>
    <w:rsid w:val="009306F5"/>
    <w:rsid w:val="0093388E"/>
    <w:rsid w:val="0093451F"/>
    <w:rsid w:val="009423C6"/>
    <w:rsid w:val="00943431"/>
    <w:rsid w:val="009438B9"/>
    <w:rsid w:val="00946D18"/>
    <w:rsid w:val="00951FA4"/>
    <w:rsid w:val="00952725"/>
    <w:rsid w:val="009533D9"/>
    <w:rsid w:val="0096078B"/>
    <w:rsid w:val="009637E2"/>
    <w:rsid w:val="009660C5"/>
    <w:rsid w:val="00972FE5"/>
    <w:rsid w:val="009740C4"/>
    <w:rsid w:val="00974139"/>
    <w:rsid w:val="00975749"/>
    <w:rsid w:val="00975A45"/>
    <w:rsid w:val="00992134"/>
    <w:rsid w:val="00996071"/>
    <w:rsid w:val="00996A95"/>
    <w:rsid w:val="009A1898"/>
    <w:rsid w:val="009A2338"/>
    <w:rsid w:val="009A352B"/>
    <w:rsid w:val="009A44EF"/>
    <w:rsid w:val="009A4C7B"/>
    <w:rsid w:val="009A6240"/>
    <w:rsid w:val="009B228C"/>
    <w:rsid w:val="009C214D"/>
    <w:rsid w:val="009C39DE"/>
    <w:rsid w:val="009C3C13"/>
    <w:rsid w:val="009C3DA5"/>
    <w:rsid w:val="009C64C0"/>
    <w:rsid w:val="009D088C"/>
    <w:rsid w:val="009D2FC3"/>
    <w:rsid w:val="009D2FD5"/>
    <w:rsid w:val="009D38F3"/>
    <w:rsid w:val="009D4B7F"/>
    <w:rsid w:val="009D732A"/>
    <w:rsid w:val="009D7475"/>
    <w:rsid w:val="009E089B"/>
    <w:rsid w:val="009E380F"/>
    <w:rsid w:val="009E4FFC"/>
    <w:rsid w:val="009F0533"/>
    <w:rsid w:val="009F083A"/>
    <w:rsid w:val="009F173A"/>
    <w:rsid w:val="009F1B18"/>
    <w:rsid w:val="009F2163"/>
    <w:rsid w:val="00A000F9"/>
    <w:rsid w:val="00A01F55"/>
    <w:rsid w:val="00A02B3B"/>
    <w:rsid w:val="00A04C28"/>
    <w:rsid w:val="00A05346"/>
    <w:rsid w:val="00A071A9"/>
    <w:rsid w:val="00A0746C"/>
    <w:rsid w:val="00A077CD"/>
    <w:rsid w:val="00A1131E"/>
    <w:rsid w:val="00A135BA"/>
    <w:rsid w:val="00A14281"/>
    <w:rsid w:val="00A14FDB"/>
    <w:rsid w:val="00A16CF9"/>
    <w:rsid w:val="00A2205B"/>
    <w:rsid w:val="00A22FAE"/>
    <w:rsid w:val="00A264C4"/>
    <w:rsid w:val="00A27C53"/>
    <w:rsid w:val="00A30BEF"/>
    <w:rsid w:val="00A32016"/>
    <w:rsid w:val="00A3444A"/>
    <w:rsid w:val="00A35CED"/>
    <w:rsid w:val="00A37B64"/>
    <w:rsid w:val="00A42BFE"/>
    <w:rsid w:val="00A43089"/>
    <w:rsid w:val="00A442CB"/>
    <w:rsid w:val="00A46267"/>
    <w:rsid w:val="00A46C30"/>
    <w:rsid w:val="00A52B0E"/>
    <w:rsid w:val="00A54E65"/>
    <w:rsid w:val="00A557A2"/>
    <w:rsid w:val="00A6405B"/>
    <w:rsid w:val="00A70253"/>
    <w:rsid w:val="00A702ED"/>
    <w:rsid w:val="00A707B3"/>
    <w:rsid w:val="00A714C9"/>
    <w:rsid w:val="00A71D06"/>
    <w:rsid w:val="00A73473"/>
    <w:rsid w:val="00A736C2"/>
    <w:rsid w:val="00A74ED9"/>
    <w:rsid w:val="00A77699"/>
    <w:rsid w:val="00A85B88"/>
    <w:rsid w:val="00A9256B"/>
    <w:rsid w:val="00A9579E"/>
    <w:rsid w:val="00A95BD2"/>
    <w:rsid w:val="00A96A3D"/>
    <w:rsid w:val="00AA2399"/>
    <w:rsid w:val="00AA5D41"/>
    <w:rsid w:val="00AB1002"/>
    <w:rsid w:val="00AB529E"/>
    <w:rsid w:val="00AC1DF4"/>
    <w:rsid w:val="00AC55F8"/>
    <w:rsid w:val="00AC7488"/>
    <w:rsid w:val="00AC7C35"/>
    <w:rsid w:val="00AD1647"/>
    <w:rsid w:val="00AD23DE"/>
    <w:rsid w:val="00AD5413"/>
    <w:rsid w:val="00AD5BE7"/>
    <w:rsid w:val="00AD739E"/>
    <w:rsid w:val="00AE086C"/>
    <w:rsid w:val="00AE39A1"/>
    <w:rsid w:val="00AE56DF"/>
    <w:rsid w:val="00AE5851"/>
    <w:rsid w:val="00AE5C3A"/>
    <w:rsid w:val="00AF1887"/>
    <w:rsid w:val="00AF237F"/>
    <w:rsid w:val="00AF34BB"/>
    <w:rsid w:val="00AF496C"/>
    <w:rsid w:val="00AF4E56"/>
    <w:rsid w:val="00AF7418"/>
    <w:rsid w:val="00AF7819"/>
    <w:rsid w:val="00AF7C28"/>
    <w:rsid w:val="00B02449"/>
    <w:rsid w:val="00B02FA3"/>
    <w:rsid w:val="00B0626A"/>
    <w:rsid w:val="00B07F96"/>
    <w:rsid w:val="00B1068A"/>
    <w:rsid w:val="00B10F07"/>
    <w:rsid w:val="00B114C8"/>
    <w:rsid w:val="00B12F13"/>
    <w:rsid w:val="00B1340C"/>
    <w:rsid w:val="00B145B0"/>
    <w:rsid w:val="00B160A3"/>
    <w:rsid w:val="00B16B19"/>
    <w:rsid w:val="00B21AED"/>
    <w:rsid w:val="00B24426"/>
    <w:rsid w:val="00B249E5"/>
    <w:rsid w:val="00B24F75"/>
    <w:rsid w:val="00B25D35"/>
    <w:rsid w:val="00B26118"/>
    <w:rsid w:val="00B324DD"/>
    <w:rsid w:val="00B32F3C"/>
    <w:rsid w:val="00B33C27"/>
    <w:rsid w:val="00B34E7E"/>
    <w:rsid w:val="00B3642D"/>
    <w:rsid w:val="00B37502"/>
    <w:rsid w:val="00B4601E"/>
    <w:rsid w:val="00B50283"/>
    <w:rsid w:val="00B506C7"/>
    <w:rsid w:val="00B50C3C"/>
    <w:rsid w:val="00B51832"/>
    <w:rsid w:val="00B53486"/>
    <w:rsid w:val="00B53ECB"/>
    <w:rsid w:val="00B5417A"/>
    <w:rsid w:val="00B57B36"/>
    <w:rsid w:val="00B623C0"/>
    <w:rsid w:val="00B63B6C"/>
    <w:rsid w:val="00B64486"/>
    <w:rsid w:val="00B656F2"/>
    <w:rsid w:val="00B6647C"/>
    <w:rsid w:val="00B67870"/>
    <w:rsid w:val="00B70E6A"/>
    <w:rsid w:val="00B74537"/>
    <w:rsid w:val="00B7473F"/>
    <w:rsid w:val="00B75303"/>
    <w:rsid w:val="00B80ED3"/>
    <w:rsid w:val="00B81AFA"/>
    <w:rsid w:val="00B8476F"/>
    <w:rsid w:val="00B86968"/>
    <w:rsid w:val="00B87561"/>
    <w:rsid w:val="00B87EF5"/>
    <w:rsid w:val="00B907AD"/>
    <w:rsid w:val="00B90C1C"/>
    <w:rsid w:val="00B91F09"/>
    <w:rsid w:val="00B95F2F"/>
    <w:rsid w:val="00B96C62"/>
    <w:rsid w:val="00B97AFA"/>
    <w:rsid w:val="00BA083E"/>
    <w:rsid w:val="00BA3408"/>
    <w:rsid w:val="00BA57D3"/>
    <w:rsid w:val="00BA5B09"/>
    <w:rsid w:val="00BB0EAE"/>
    <w:rsid w:val="00BB3155"/>
    <w:rsid w:val="00BB660D"/>
    <w:rsid w:val="00BC349F"/>
    <w:rsid w:val="00BC68F7"/>
    <w:rsid w:val="00BC6A29"/>
    <w:rsid w:val="00BD0579"/>
    <w:rsid w:val="00BD315F"/>
    <w:rsid w:val="00BD55AA"/>
    <w:rsid w:val="00BD66EF"/>
    <w:rsid w:val="00BE54FB"/>
    <w:rsid w:val="00BF15D6"/>
    <w:rsid w:val="00BF1F85"/>
    <w:rsid w:val="00BF20D2"/>
    <w:rsid w:val="00BF2652"/>
    <w:rsid w:val="00BF377B"/>
    <w:rsid w:val="00BF436A"/>
    <w:rsid w:val="00BF6034"/>
    <w:rsid w:val="00BF61E7"/>
    <w:rsid w:val="00C00724"/>
    <w:rsid w:val="00C014B9"/>
    <w:rsid w:val="00C031B7"/>
    <w:rsid w:val="00C0348E"/>
    <w:rsid w:val="00C03D6E"/>
    <w:rsid w:val="00C05AEA"/>
    <w:rsid w:val="00C07CC8"/>
    <w:rsid w:val="00C07F8E"/>
    <w:rsid w:val="00C2168D"/>
    <w:rsid w:val="00C21D15"/>
    <w:rsid w:val="00C22B34"/>
    <w:rsid w:val="00C2402A"/>
    <w:rsid w:val="00C24158"/>
    <w:rsid w:val="00C2442B"/>
    <w:rsid w:val="00C24B26"/>
    <w:rsid w:val="00C2696C"/>
    <w:rsid w:val="00C26E82"/>
    <w:rsid w:val="00C31213"/>
    <w:rsid w:val="00C3259B"/>
    <w:rsid w:val="00C32B09"/>
    <w:rsid w:val="00C35B97"/>
    <w:rsid w:val="00C4258E"/>
    <w:rsid w:val="00C43FDE"/>
    <w:rsid w:val="00C44418"/>
    <w:rsid w:val="00C45FE7"/>
    <w:rsid w:val="00C507A6"/>
    <w:rsid w:val="00C520DD"/>
    <w:rsid w:val="00C53FE9"/>
    <w:rsid w:val="00C55E8C"/>
    <w:rsid w:val="00C60980"/>
    <w:rsid w:val="00C6243C"/>
    <w:rsid w:val="00C65344"/>
    <w:rsid w:val="00C65801"/>
    <w:rsid w:val="00C67768"/>
    <w:rsid w:val="00C703EE"/>
    <w:rsid w:val="00C705AE"/>
    <w:rsid w:val="00C74210"/>
    <w:rsid w:val="00C75E65"/>
    <w:rsid w:val="00C768CE"/>
    <w:rsid w:val="00C80B6D"/>
    <w:rsid w:val="00C8165A"/>
    <w:rsid w:val="00C901D2"/>
    <w:rsid w:val="00C918C8"/>
    <w:rsid w:val="00C92526"/>
    <w:rsid w:val="00C93C65"/>
    <w:rsid w:val="00CA1451"/>
    <w:rsid w:val="00CA20FA"/>
    <w:rsid w:val="00CA284C"/>
    <w:rsid w:val="00CA2ADC"/>
    <w:rsid w:val="00CA30E7"/>
    <w:rsid w:val="00CA5FDD"/>
    <w:rsid w:val="00CA7DB4"/>
    <w:rsid w:val="00CB058B"/>
    <w:rsid w:val="00CB1193"/>
    <w:rsid w:val="00CB187F"/>
    <w:rsid w:val="00CB1F68"/>
    <w:rsid w:val="00CB3910"/>
    <w:rsid w:val="00CB3A7B"/>
    <w:rsid w:val="00CC0BA4"/>
    <w:rsid w:val="00CC1F98"/>
    <w:rsid w:val="00CC2ACE"/>
    <w:rsid w:val="00CC2E36"/>
    <w:rsid w:val="00CC36A7"/>
    <w:rsid w:val="00CC4186"/>
    <w:rsid w:val="00CC693E"/>
    <w:rsid w:val="00CC7D91"/>
    <w:rsid w:val="00CD054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5FBA"/>
    <w:rsid w:val="00D073D0"/>
    <w:rsid w:val="00D119F8"/>
    <w:rsid w:val="00D12DE3"/>
    <w:rsid w:val="00D14935"/>
    <w:rsid w:val="00D2034B"/>
    <w:rsid w:val="00D20B51"/>
    <w:rsid w:val="00D2364D"/>
    <w:rsid w:val="00D25E48"/>
    <w:rsid w:val="00D27674"/>
    <w:rsid w:val="00D3220D"/>
    <w:rsid w:val="00D33933"/>
    <w:rsid w:val="00D4084E"/>
    <w:rsid w:val="00D4140A"/>
    <w:rsid w:val="00D42D92"/>
    <w:rsid w:val="00D47DAE"/>
    <w:rsid w:val="00D5001D"/>
    <w:rsid w:val="00D5470A"/>
    <w:rsid w:val="00D55145"/>
    <w:rsid w:val="00D552F9"/>
    <w:rsid w:val="00D6034A"/>
    <w:rsid w:val="00D606D2"/>
    <w:rsid w:val="00D619A8"/>
    <w:rsid w:val="00D6235F"/>
    <w:rsid w:val="00D62F7A"/>
    <w:rsid w:val="00D6396A"/>
    <w:rsid w:val="00D641D4"/>
    <w:rsid w:val="00D674CB"/>
    <w:rsid w:val="00D67A6E"/>
    <w:rsid w:val="00D70258"/>
    <w:rsid w:val="00D71A95"/>
    <w:rsid w:val="00D7417E"/>
    <w:rsid w:val="00D7739B"/>
    <w:rsid w:val="00D821A2"/>
    <w:rsid w:val="00D8229B"/>
    <w:rsid w:val="00D826C5"/>
    <w:rsid w:val="00D84327"/>
    <w:rsid w:val="00D84C2A"/>
    <w:rsid w:val="00D8668A"/>
    <w:rsid w:val="00D87FD7"/>
    <w:rsid w:val="00D92B5B"/>
    <w:rsid w:val="00D92E11"/>
    <w:rsid w:val="00D94C96"/>
    <w:rsid w:val="00D967D8"/>
    <w:rsid w:val="00D97576"/>
    <w:rsid w:val="00D977E2"/>
    <w:rsid w:val="00DA031B"/>
    <w:rsid w:val="00DA14CA"/>
    <w:rsid w:val="00DA246C"/>
    <w:rsid w:val="00DA28B7"/>
    <w:rsid w:val="00DA451F"/>
    <w:rsid w:val="00DA577D"/>
    <w:rsid w:val="00DA59DC"/>
    <w:rsid w:val="00DA5B7A"/>
    <w:rsid w:val="00DA6C3B"/>
    <w:rsid w:val="00DA78C4"/>
    <w:rsid w:val="00DB23F2"/>
    <w:rsid w:val="00DB3695"/>
    <w:rsid w:val="00DB4FE6"/>
    <w:rsid w:val="00DB7329"/>
    <w:rsid w:val="00DC0A2A"/>
    <w:rsid w:val="00DC2C3A"/>
    <w:rsid w:val="00DC30D5"/>
    <w:rsid w:val="00DC31D3"/>
    <w:rsid w:val="00DC7A35"/>
    <w:rsid w:val="00DD2CE2"/>
    <w:rsid w:val="00DD3763"/>
    <w:rsid w:val="00DD3E28"/>
    <w:rsid w:val="00DE0171"/>
    <w:rsid w:val="00DE1FE1"/>
    <w:rsid w:val="00DE33C5"/>
    <w:rsid w:val="00DE38FB"/>
    <w:rsid w:val="00DE5D3C"/>
    <w:rsid w:val="00DF5039"/>
    <w:rsid w:val="00DF526F"/>
    <w:rsid w:val="00DF555F"/>
    <w:rsid w:val="00DF7507"/>
    <w:rsid w:val="00DF7E73"/>
    <w:rsid w:val="00E02659"/>
    <w:rsid w:val="00E03ED9"/>
    <w:rsid w:val="00E044BA"/>
    <w:rsid w:val="00E05386"/>
    <w:rsid w:val="00E06276"/>
    <w:rsid w:val="00E100AF"/>
    <w:rsid w:val="00E102A7"/>
    <w:rsid w:val="00E10D36"/>
    <w:rsid w:val="00E11E64"/>
    <w:rsid w:val="00E125D0"/>
    <w:rsid w:val="00E12A66"/>
    <w:rsid w:val="00E1413B"/>
    <w:rsid w:val="00E14BEB"/>
    <w:rsid w:val="00E14F08"/>
    <w:rsid w:val="00E174D9"/>
    <w:rsid w:val="00E17744"/>
    <w:rsid w:val="00E17D74"/>
    <w:rsid w:val="00E204B3"/>
    <w:rsid w:val="00E20DE0"/>
    <w:rsid w:val="00E23898"/>
    <w:rsid w:val="00E23997"/>
    <w:rsid w:val="00E26A0A"/>
    <w:rsid w:val="00E34B9B"/>
    <w:rsid w:val="00E40115"/>
    <w:rsid w:val="00E401E0"/>
    <w:rsid w:val="00E40E62"/>
    <w:rsid w:val="00E43673"/>
    <w:rsid w:val="00E443CB"/>
    <w:rsid w:val="00E46A48"/>
    <w:rsid w:val="00E50041"/>
    <w:rsid w:val="00E508D3"/>
    <w:rsid w:val="00E52265"/>
    <w:rsid w:val="00E5549A"/>
    <w:rsid w:val="00E61E81"/>
    <w:rsid w:val="00E62924"/>
    <w:rsid w:val="00E64DB9"/>
    <w:rsid w:val="00E677A1"/>
    <w:rsid w:val="00E713BA"/>
    <w:rsid w:val="00E7156A"/>
    <w:rsid w:val="00E73D34"/>
    <w:rsid w:val="00E80F8D"/>
    <w:rsid w:val="00E81997"/>
    <w:rsid w:val="00E835A4"/>
    <w:rsid w:val="00E849D2"/>
    <w:rsid w:val="00E869D1"/>
    <w:rsid w:val="00E91CFC"/>
    <w:rsid w:val="00E931D5"/>
    <w:rsid w:val="00E940ED"/>
    <w:rsid w:val="00EA2A72"/>
    <w:rsid w:val="00EA380B"/>
    <w:rsid w:val="00EA381D"/>
    <w:rsid w:val="00EA5A2C"/>
    <w:rsid w:val="00EA5A53"/>
    <w:rsid w:val="00EB0A77"/>
    <w:rsid w:val="00EB4E3B"/>
    <w:rsid w:val="00EC0224"/>
    <w:rsid w:val="00EC51EA"/>
    <w:rsid w:val="00EC773E"/>
    <w:rsid w:val="00EC79F6"/>
    <w:rsid w:val="00ED426E"/>
    <w:rsid w:val="00ED59A3"/>
    <w:rsid w:val="00ED5ECF"/>
    <w:rsid w:val="00ED60A7"/>
    <w:rsid w:val="00EE6465"/>
    <w:rsid w:val="00EF19B1"/>
    <w:rsid w:val="00EF1A88"/>
    <w:rsid w:val="00EF4D0C"/>
    <w:rsid w:val="00EF694F"/>
    <w:rsid w:val="00F026FE"/>
    <w:rsid w:val="00F0564B"/>
    <w:rsid w:val="00F10844"/>
    <w:rsid w:val="00F1128A"/>
    <w:rsid w:val="00F13086"/>
    <w:rsid w:val="00F13088"/>
    <w:rsid w:val="00F1319A"/>
    <w:rsid w:val="00F1404C"/>
    <w:rsid w:val="00F166B1"/>
    <w:rsid w:val="00F1670C"/>
    <w:rsid w:val="00F16B85"/>
    <w:rsid w:val="00F2017E"/>
    <w:rsid w:val="00F20BA7"/>
    <w:rsid w:val="00F213E6"/>
    <w:rsid w:val="00F2198A"/>
    <w:rsid w:val="00F21C64"/>
    <w:rsid w:val="00F21FF1"/>
    <w:rsid w:val="00F226AE"/>
    <w:rsid w:val="00F2312C"/>
    <w:rsid w:val="00F238A3"/>
    <w:rsid w:val="00F23DA1"/>
    <w:rsid w:val="00F23F61"/>
    <w:rsid w:val="00F24DC4"/>
    <w:rsid w:val="00F321DD"/>
    <w:rsid w:val="00F352C2"/>
    <w:rsid w:val="00F37A92"/>
    <w:rsid w:val="00F403F4"/>
    <w:rsid w:val="00F44EB1"/>
    <w:rsid w:val="00F4635D"/>
    <w:rsid w:val="00F470E4"/>
    <w:rsid w:val="00F5400A"/>
    <w:rsid w:val="00F55264"/>
    <w:rsid w:val="00F577B2"/>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9082A"/>
    <w:rsid w:val="00F90B91"/>
    <w:rsid w:val="00F95A1E"/>
    <w:rsid w:val="00F9618F"/>
    <w:rsid w:val="00F9724E"/>
    <w:rsid w:val="00FA1417"/>
    <w:rsid w:val="00FA177F"/>
    <w:rsid w:val="00FA1ECF"/>
    <w:rsid w:val="00FA32D5"/>
    <w:rsid w:val="00FA32F5"/>
    <w:rsid w:val="00FB02E2"/>
    <w:rsid w:val="00FB09DB"/>
    <w:rsid w:val="00FB2EC2"/>
    <w:rsid w:val="00FB745F"/>
    <w:rsid w:val="00FC4424"/>
    <w:rsid w:val="00FC6556"/>
    <w:rsid w:val="00FD0035"/>
    <w:rsid w:val="00FE1630"/>
    <w:rsid w:val="00FE3AD9"/>
    <w:rsid w:val="00FE4AAC"/>
    <w:rsid w:val="00FE545C"/>
    <w:rsid w:val="00FE56D5"/>
    <w:rsid w:val="00FE5B4F"/>
    <w:rsid w:val="00FF194B"/>
    <w:rsid w:val="00FF24F3"/>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https://jira.oncprojectracking.org/browse/QDM-103" TargetMode="External"/><Relationship Id="rId14" Type="http://schemas.openxmlformats.org/officeDocument/2006/relationships/hyperlink" Target="https://jira.oncprojectracking.org/browse/QDM-87" TargetMode="External"/><Relationship Id="rId15" Type="http://schemas.openxmlformats.org/officeDocument/2006/relationships/hyperlink" Target="https://jira.oncprojectracking.org/browse/QDM-108" TargetMode="External"/><Relationship Id="rId16" Type="http://schemas.openxmlformats.org/officeDocument/2006/relationships/hyperlink" Target="https://jira.oncprojectracking.org/browse/QDM-109"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31533"/>
    <w:rsid w:val="00142B17"/>
    <w:rsid w:val="001C41E1"/>
    <w:rsid w:val="001E762D"/>
    <w:rsid w:val="002504D8"/>
    <w:rsid w:val="002A07C7"/>
    <w:rsid w:val="00352DA7"/>
    <w:rsid w:val="00386DA0"/>
    <w:rsid w:val="003976E7"/>
    <w:rsid w:val="003C6DAA"/>
    <w:rsid w:val="003D5826"/>
    <w:rsid w:val="00411155"/>
    <w:rsid w:val="004232C6"/>
    <w:rsid w:val="00462445"/>
    <w:rsid w:val="0047314C"/>
    <w:rsid w:val="004A4720"/>
    <w:rsid w:val="004C4DB0"/>
    <w:rsid w:val="00516D68"/>
    <w:rsid w:val="005648B4"/>
    <w:rsid w:val="00576E4B"/>
    <w:rsid w:val="00593DCD"/>
    <w:rsid w:val="005A1AB4"/>
    <w:rsid w:val="005B6F8E"/>
    <w:rsid w:val="00607BD3"/>
    <w:rsid w:val="006708B4"/>
    <w:rsid w:val="0068285F"/>
    <w:rsid w:val="006B045E"/>
    <w:rsid w:val="006B3D86"/>
    <w:rsid w:val="006C7412"/>
    <w:rsid w:val="00741378"/>
    <w:rsid w:val="00796D10"/>
    <w:rsid w:val="007B4B2B"/>
    <w:rsid w:val="007C020E"/>
    <w:rsid w:val="007E560D"/>
    <w:rsid w:val="0081019C"/>
    <w:rsid w:val="00827EED"/>
    <w:rsid w:val="00836C59"/>
    <w:rsid w:val="00892BE3"/>
    <w:rsid w:val="008B0B12"/>
    <w:rsid w:val="008B6AB6"/>
    <w:rsid w:val="008F15F3"/>
    <w:rsid w:val="00923F32"/>
    <w:rsid w:val="00930081"/>
    <w:rsid w:val="0095645E"/>
    <w:rsid w:val="00961FA5"/>
    <w:rsid w:val="0097750E"/>
    <w:rsid w:val="009B2C24"/>
    <w:rsid w:val="00A531BF"/>
    <w:rsid w:val="00A865C4"/>
    <w:rsid w:val="00A9549D"/>
    <w:rsid w:val="00A9593C"/>
    <w:rsid w:val="00AB5CD3"/>
    <w:rsid w:val="00AC0088"/>
    <w:rsid w:val="00AF5D1B"/>
    <w:rsid w:val="00B06A20"/>
    <w:rsid w:val="00B16C7F"/>
    <w:rsid w:val="00B2273E"/>
    <w:rsid w:val="00B562DF"/>
    <w:rsid w:val="00BA0F01"/>
    <w:rsid w:val="00C111CB"/>
    <w:rsid w:val="00C32892"/>
    <w:rsid w:val="00C666D2"/>
    <w:rsid w:val="00CB4020"/>
    <w:rsid w:val="00D045EB"/>
    <w:rsid w:val="00D41B9F"/>
    <w:rsid w:val="00D56805"/>
    <w:rsid w:val="00D713B8"/>
    <w:rsid w:val="00D94899"/>
    <w:rsid w:val="00E04BF8"/>
    <w:rsid w:val="00EC6A3C"/>
    <w:rsid w:val="00ED3A26"/>
    <w:rsid w:val="00F15594"/>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4FD0B6BC-F458-F14C-83A2-B4279409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92</TotalTime>
  <Pages>4</Pages>
  <Words>1365</Words>
  <Characters>7783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Chris Moesel</cp:lastModifiedBy>
  <cp:revision>5</cp:revision>
  <cp:lastPrinted>2014-12-17T18:48:00Z</cp:lastPrinted>
  <dcterms:created xsi:type="dcterms:W3CDTF">2015-03-23T17:19:00Z</dcterms:created>
  <dcterms:modified xsi:type="dcterms:W3CDTF">2015-03-25T18:56:00Z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