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87E70" w14:textId="4BD62DAF" w:rsidR="004C2947" w:rsidRPr="000B3F83" w:rsidRDefault="007A34A2">
      <w:pPr>
        <w:pStyle w:val="Title"/>
        <w:rPr>
          <w:rFonts w:ascii="Calibri" w:hAnsi="Calibri"/>
          <w:color w:val="14415C" w:themeColor="accent3" w:themeShade="BF"/>
          <w:sz w:val="40"/>
          <w:szCs w:val="40"/>
        </w:rPr>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AD295F" w:rsidRPr="00AD295F">
        <w:rPr>
          <w:rFonts w:ascii="Calibri" w:hAnsi="Calibri"/>
          <w:color w:val="14415C" w:themeColor="accent3" w:themeShade="BF"/>
          <w:sz w:val="40"/>
          <w:szCs w:val="40"/>
        </w:rPr>
        <w:t xml:space="preserve"> </w:t>
      </w:r>
      <w:r w:rsidR="00AD295F" w:rsidRPr="00AE086C">
        <w:rPr>
          <w:rFonts w:ascii="Calibri" w:hAnsi="Calibri"/>
          <w:color w:val="14415C" w:themeColor="accent3" w:themeShade="BF"/>
          <w:sz w:val="40"/>
          <w:szCs w:val="40"/>
        </w:rPr>
        <w:t>AGENDA</w:t>
      </w:r>
      <w:r w:rsidR="00AD295F">
        <w:rPr>
          <w:rFonts w:ascii="Calibri" w:hAnsi="Calibri"/>
          <w:color w:val="14415C" w:themeColor="accent3" w:themeShade="BF"/>
          <w:sz w:val="40"/>
          <w:szCs w:val="40"/>
        </w:rPr>
        <w:t>/MEETING MINUTES</w:t>
      </w:r>
    </w:p>
    <w:p w14:paraId="4B2ABE03" w14:textId="0167E168" w:rsidR="00AD295F" w:rsidRDefault="004A1E1C" w:rsidP="00F44EB1">
      <w:pPr>
        <w:pStyle w:val="Subtitle"/>
        <w:rPr>
          <w:rFonts w:ascii="Calibri" w:hAnsi="Calibri"/>
          <w:i/>
          <w:color w:val="auto"/>
          <w:sz w:val="20"/>
          <w:szCs w:val="20"/>
        </w:rPr>
      </w:pPr>
      <w:bookmarkStart w:id="0" w:name="_GoBack"/>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06-18T13:00:00Z">
            <w:dateFormat w:val="M/d/yyyy h:mm am/pm"/>
            <w:lid w:val="en-US"/>
            <w:storeMappedDataAs w:val="dateTime"/>
            <w:calendar w:val="gregorian"/>
          </w:date>
        </w:sdtPr>
        <w:sdtEndPr>
          <w:rPr>
            <w:rStyle w:val="DefaultParagraphFont"/>
            <w:i w:val="0"/>
            <w:iCs w:val="0"/>
          </w:rPr>
        </w:sdtEndPr>
        <w:sdtContent>
          <w:r w:rsidR="00200302">
            <w:rPr>
              <w:rStyle w:val="SubtleEmphasis"/>
              <w:rFonts w:ascii="Calibri" w:hAnsi="Calibri"/>
              <w:color w:val="000000" w:themeColor="text1"/>
              <w:sz w:val="20"/>
              <w:szCs w:val="20"/>
            </w:rPr>
            <w:t>6/18/2014 1:00 PM</w:t>
          </w:r>
        </w:sdtContent>
      </w:sdt>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AD295F" w:rsidRPr="00D05FB9">
              <w:rPr>
                <w:rStyle w:val="Hyperlink"/>
                <w:rFonts w:ascii="Calibri" w:hAnsi="Calibri" w:cstheme="majorBidi"/>
                <w:i/>
                <w:sz w:val="20"/>
                <w:szCs w:val="20"/>
              </w:rPr>
              <w:t>https://www4.gotomeeting.com/register/375210199</w:t>
            </w:r>
          </w:hyperlink>
        </w:sdtContent>
      </w:sdt>
    </w:p>
    <w:bookmarkEnd w:id="0"/>
    <w:p w14:paraId="3F178480" w14:textId="36C91B89" w:rsidR="00C9431A" w:rsidRDefault="00AD295F" w:rsidP="00C9431A">
      <w:pPr>
        <w:rPr>
          <w:rFonts w:ascii="Calibri" w:eastAsia="Times New Roman" w:hAnsi="Calibri" w:cs="Times New Roman"/>
          <w:color w:val="000000"/>
          <w:lang w:eastAsia="en-US"/>
        </w:rPr>
      </w:pPr>
      <w:r w:rsidRPr="000B5BBF">
        <w:rPr>
          <w:rFonts w:ascii="Calibri" w:hAnsi="Calibri"/>
        </w:rPr>
        <w:t xml:space="preserve">Participants: </w:t>
      </w:r>
      <w:r w:rsidR="00C9431A">
        <w:rPr>
          <w:rFonts w:ascii="Calibri" w:eastAsia="Times New Roman" w:hAnsi="Calibri" w:cs="Times New Roman"/>
          <w:color w:val="000000"/>
          <w:lang w:eastAsia="en-US"/>
        </w:rPr>
        <w:t xml:space="preserve">Alvarez, Gaby; Balasubramanyam, Balu; Barton, Cynthia; Campbell, Susan; Che, Cheng; Cooke, Kaitlin; Corob, Lori; Criswell, Dawn; Davis, Natalie; Flanagan, Angela; Giarrizzo-Wilson, Sharon; Gjorvad, Gina; Hadley, Marc; Hall, Deb; Hamlin, Ben; Hammer, Jeffrey; Heras, Yan; </w:t>
      </w:r>
      <w:r w:rsidR="00C9431A" w:rsidRPr="00C9431A">
        <w:rPr>
          <w:rFonts w:ascii="Calibri" w:eastAsia="Times New Roman" w:hAnsi="Calibri" w:cs="Times New Roman"/>
          <w:color w:val="000000"/>
          <w:lang w:eastAsia="en-US"/>
        </w:rPr>
        <w:t>Hinterberg, Michelle</w:t>
      </w:r>
      <w:r w:rsidR="00C9431A">
        <w:rPr>
          <w:rFonts w:ascii="Calibri" w:eastAsia="Times New Roman" w:hAnsi="Calibri" w:cs="Times New Roman"/>
          <w:color w:val="000000"/>
          <w:lang w:eastAsia="en-US"/>
        </w:rPr>
        <w:t xml:space="preserve">; </w:t>
      </w:r>
      <w:r w:rsidR="00C9431A" w:rsidRPr="00C9431A">
        <w:rPr>
          <w:rFonts w:ascii="Calibri" w:eastAsia="Times New Roman" w:hAnsi="Calibri" w:cs="Times New Roman"/>
          <w:color w:val="000000"/>
          <w:lang w:eastAsia="en-US"/>
        </w:rPr>
        <w:t>Moesel, Chris</w:t>
      </w:r>
      <w:r w:rsidR="00C9431A">
        <w:rPr>
          <w:rFonts w:ascii="Calibri" w:eastAsia="Times New Roman" w:hAnsi="Calibri" w:cs="Times New Roman"/>
          <w:color w:val="000000"/>
          <w:lang w:eastAsia="en-US"/>
        </w:rPr>
        <w:t xml:space="preserve">; Kemper, Nicole; Kunisch, Joseph; Martins, Rute; McClure, Rob; McKay, Patti; </w:t>
      </w:r>
      <w:r w:rsidR="00C9431A" w:rsidRPr="00C9431A">
        <w:rPr>
          <w:rFonts w:ascii="Calibri" w:eastAsia="Times New Roman" w:hAnsi="Calibri" w:cs="Times New Roman"/>
          <w:color w:val="000000"/>
          <w:lang w:eastAsia="en-US"/>
        </w:rPr>
        <w:t>N</w:t>
      </w:r>
      <w:r w:rsidR="00C9431A">
        <w:rPr>
          <w:rFonts w:ascii="Calibri" w:eastAsia="Times New Roman" w:hAnsi="Calibri" w:cs="Times New Roman"/>
          <w:color w:val="000000"/>
          <w:lang w:eastAsia="en-US"/>
        </w:rPr>
        <w:t xml:space="preserve">iles, Lauren; Norris, Jimmi; Patel, Vaspaan; Perlie, LaVerne; Pummer, Eileen; Rankins, Stan; Roman, Dan; Schirle, Justin; Sethi, Kanwarpree; Skapik, Julia; Smith, Anne; Stephens, Judi; Tietze, Mari; </w:t>
      </w:r>
      <w:r w:rsidR="00C9431A" w:rsidRPr="00C9431A">
        <w:rPr>
          <w:rFonts w:ascii="Calibri" w:eastAsia="Times New Roman" w:hAnsi="Calibri" w:cs="Times New Roman"/>
          <w:color w:val="000000"/>
          <w:lang w:eastAsia="en-US"/>
        </w:rPr>
        <w:t xml:space="preserve">Zhang, Jian </w:t>
      </w:r>
    </w:p>
    <w:p w14:paraId="14CD91BC" w14:textId="77777777" w:rsidR="00C9431A" w:rsidRPr="00C9431A" w:rsidRDefault="00C9431A" w:rsidP="00C9431A">
      <w:pPr>
        <w:rPr>
          <w:rFonts w:ascii="Calibri" w:hAnsi="Calibri"/>
        </w:rPr>
      </w:pPr>
    </w:p>
    <w:tbl>
      <w:tblPr>
        <w:tblStyle w:val="TableGrid"/>
        <w:tblW w:w="0" w:type="auto"/>
        <w:tblInd w:w="72" w:type="dxa"/>
        <w:tblLook w:val="04A0" w:firstRow="1" w:lastRow="0" w:firstColumn="1" w:lastColumn="0" w:noHBand="0" w:noVBand="1"/>
      </w:tblPr>
      <w:tblGrid>
        <w:gridCol w:w="1657"/>
        <w:gridCol w:w="1586"/>
        <w:gridCol w:w="3183"/>
        <w:gridCol w:w="7231"/>
        <w:gridCol w:w="887"/>
      </w:tblGrid>
      <w:tr w:rsidR="00823427" w:rsidRPr="00DF7E73" w14:paraId="3FD43C7D" w14:textId="77777777" w:rsidTr="00212750">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0" w:type="auto"/>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183"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231"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Comm*</w:t>
            </w:r>
          </w:p>
        </w:tc>
      </w:tr>
      <w:tr w:rsidR="003E362A" w:rsidRPr="00DF7E73" w14:paraId="0408592A" w14:textId="77777777" w:rsidTr="00212750">
        <w:tc>
          <w:tcPr>
            <w:tcW w:w="0" w:type="auto"/>
            <w:tcBorders>
              <w:top w:val="single" w:sz="4" w:space="0" w:color="auto"/>
            </w:tcBorders>
          </w:tcPr>
          <w:p w14:paraId="4C214AC5" w14:textId="77777777" w:rsidR="001C1A8E" w:rsidRPr="00DF7E73" w:rsidRDefault="007A34A2" w:rsidP="00162BD4">
            <w:pPr>
              <w:ind w:left="0"/>
              <w:rPr>
                <w:rFonts w:ascii="Calibri" w:hAnsi="Calibri"/>
              </w:rPr>
            </w:pPr>
            <w:r>
              <w:rPr>
                <w:rFonts w:ascii="Calibri" w:hAnsi="Calibri"/>
              </w:rPr>
              <w:t>Participants</w:t>
            </w:r>
          </w:p>
        </w:tc>
        <w:tc>
          <w:tcPr>
            <w:tcW w:w="0" w:type="auto"/>
            <w:tcBorders>
              <w:top w:val="single" w:sz="4" w:space="0" w:color="auto"/>
            </w:tcBorders>
          </w:tcPr>
          <w:p w14:paraId="343E4CB8" w14:textId="5A829ABF" w:rsidR="001C1A8E" w:rsidRPr="00DF7E73" w:rsidRDefault="007A34A2" w:rsidP="00792D78">
            <w:pPr>
              <w:ind w:left="0"/>
              <w:rPr>
                <w:rFonts w:ascii="Calibri" w:hAnsi="Calibri"/>
              </w:rPr>
            </w:pPr>
            <w:r>
              <w:rPr>
                <w:rFonts w:ascii="Calibri" w:hAnsi="Calibri"/>
              </w:rPr>
              <w:t xml:space="preserve">1:00 </w:t>
            </w:r>
            <w:r w:rsidR="00937C0E">
              <w:rPr>
                <w:rFonts w:ascii="Calibri" w:hAnsi="Calibri"/>
              </w:rPr>
              <w:t>Balu</w:t>
            </w:r>
          </w:p>
        </w:tc>
        <w:tc>
          <w:tcPr>
            <w:tcW w:w="3183" w:type="dxa"/>
            <w:tcBorders>
              <w:top w:val="single" w:sz="4" w:space="0" w:color="auto"/>
            </w:tcBorders>
          </w:tcPr>
          <w:p w14:paraId="551210ED" w14:textId="47B3D140" w:rsidR="001C1A8E" w:rsidRPr="00DF7E73" w:rsidRDefault="007A34A2" w:rsidP="009423C6">
            <w:pPr>
              <w:ind w:left="0"/>
              <w:rPr>
                <w:rFonts w:ascii="Calibri" w:hAnsi="Calibri"/>
              </w:rPr>
            </w:pPr>
            <w:r>
              <w:rPr>
                <w:rFonts w:ascii="Calibri" w:hAnsi="Calibri"/>
              </w:rPr>
              <w:t>Welcome participants</w:t>
            </w:r>
            <w:r w:rsidR="009423C6">
              <w:rPr>
                <w:rFonts w:ascii="Calibri" w:hAnsi="Calibri"/>
              </w:rPr>
              <w:t xml:space="preserve"> </w:t>
            </w:r>
          </w:p>
        </w:tc>
        <w:tc>
          <w:tcPr>
            <w:tcW w:w="7231" w:type="dxa"/>
            <w:tcBorders>
              <w:top w:val="single" w:sz="4" w:space="0" w:color="auto"/>
            </w:tcBorders>
          </w:tcPr>
          <w:p w14:paraId="39391140" w14:textId="1E7EA465" w:rsidR="00354C88" w:rsidRPr="00DF7E73" w:rsidRDefault="00354C88" w:rsidP="008B2C07">
            <w:pPr>
              <w:ind w:left="0"/>
              <w:rPr>
                <w:rFonts w:ascii="Calibri" w:hAnsi="Calibri"/>
              </w:rPr>
            </w:pPr>
          </w:p>
        </w:tc>
        <w:tc>
          <w:tcPr>
            <w:tcW w:w="0" w:type="auto"/>
            <w:tcBorders>
              <w:top w:val="single" w:sz="4" w:space="0" w:color="auto"/>
            </w:tcBorders>
          </w:tcPr>
          <w:p w14:paraId="5D579552" w14:textId="77777777" w:rsidR="001C1A8E" w:rsidRPr="00DF7E73" w:rsidRDefault="001C1A8E" w:rsidP="007A34A2">
            <w:pPr>
              <w:ind w:left="0"/>
              <w:rPr>
                <w:rFonts w:ascii="Calibri" w:hAnsi="Calibri"/>
              </w:rPr>
            </w:pPr>
          </w:p>
        </w:tc>
      </w:tr>
      <w:tr w:rsidR="00427071" w:rsidRPr="00DF7E73" w14:paraId="459FCF5D" w14:textId="77777777" w:rsidTr="00212750">
        <w:tc>
          <w:tcPr>
            <w:tcW w:w="0" w:type="auto"/>
          </w:tcPr>
          <w:p w14:paraId="4F5142B9" w14:textId="225BFD71" w:rsidR="00427071" w:rsidRDefault="00200302" w:rsidP="00F44EB1">
            <w:pPr>
              <w:ind w:left="0"/>
              <w:rPr>
                <w:rFonts w:ascii="Calibri" w:hAnsi="Calibri"/>
              </w:rPr>
            </w:pPr>
            <w:r>
              <w:rPr>
                <w:rFonts w:ascii="Calibri" w:hAnsi="Calibri"/>
              </w:rPr>
              <w:t>May 21</w:t>
            </w:r>
            <w:r w:rsidR="009423C6">
              <w:rPr>
                <w:rFonts w:ascii="Calibri" w:hAnsi="Calibri"/>
              </w:rPr>
              <w:t xml:space="preserve"> Meeting</w:t>
            </w:r>
            <w:r w:rsidR="00E06276">
              <w:rPr>
                <w:rFonts w:ascii="Calibri" w:hAnsi="Calibri"/>
              </w:rPr>
              <w:t xml:space="preserve"> Minute Review</w:t>
            </w:r>
          </w:p>
        </w:tc>
        <w:tc>
          <w:tcPr>
            <w:tcW w:w="0" w:type="auto"/>
          </w:tcPr>
          <w:p w14:paraId="7B79A253" w14:textId="5F776C93" w:rsidR="00427071" w:rsidRDefault="00427071" w:rsidP="00F44EB1">
            <w:pPr>
              <w:ind w:left="0"/>
              <w:rPr>
                <w:rFonts w:ascii="Calibri" w:hAnsi="Calibri"/>
              </w:rPr>
            </w:pPr>
            <w:r>
              <w:rPr>
                <w:rFonts w:ascii="Calibri" w:hAnsi="Calibri"/>
              </w:rPr>
              <w:t>1:0</w:t>
            </w:r>
            <w:r w:rsidR="000B12EC">
              <w:rPr>
                <w:rFonts w:ascii="Calibri" w:hAnsi="Calibri"/>
              </w:rPr>
              <w:t>0</w:t>
            </w:r>
            <w:r>
              <w:rPr>
                <w:rFonts w:ascii="Calibri" w:hAnsi="Calibri"/>
              </w:rPr>
              <w:t xml:space="preserve"> </w:t>
            </w:r>
            <w:r w:rsidR="00937C0E">
              <w:rPr>
                <w:rFonts w:ascii="Calibri" w:hAnsi="Calibri"/>
              </w:rPr>
              <w:t>Balu</w:t>
            </w:r>
          </w:p>
        </w:tc>
        <w:tc>
          <w:tcPr>
            <w:tcW w:w="3183" w:type="dxa"/>
          </w:tcPr>
          <w:p w14:paraId="0455324F" w14:textId="7F68351B" w:rsidR="00427071" w:rsidRDefault="009423C6" w:rsidP="00E02659">
            <w:pPr>
              <w:ind w:left="0"/>
              <w:rPr>
                <w:rFonts w:ascii="Calibri" w:hAnsi="Calibri"/>
              </w:rPr>
            </w:pPr>
            <w:r>
              <w:rPr>
                <w:rFonts w:ascii="Calibri" w:hAnsi="Calibri"/>
              </w:rPr>
              <w:t xml:space="preserve">Review </w:t>
            </w:r>
            <w:r w:rsidR="00A95BD2">
              <w:rPr>
                <w:rFonts w:ascii="Calibri" w:hAnsi="Calibri"/>
              </w:rPr>
              <w:t>discussion</w:t>
            </w:r>
            <w:r w:rsidR="00E02659">
              <w:rPr>
                <w:rFonts w:ascii="Calibri" w:hAnsi="Calibri"/>
              </w:rPr>
              <w:t>, decisions, and</w:t>
            </w:r>
            <w:r w:rsidR="00A95BD2">
              <w:rPr>
                <w:rFonts w:ascii="Calibri" w:hAnsi="Calibri"/>
              </w:rPr>
              <w:t xml:space="preserve"> action items from previous meeting</w:t>
            </w:r>
            <w:r>
              <w:rPr>
                <w:rFonts w:ascii="Calibri" w:hAnsi="Calibri"/>
              </w:rPr>
              <w:t xml:space="preserve"> </w:t>
            </w:r>
          </w:p>
        </w:tc>
        <w:tc>
          <w:tcPr>
            <w:tcW w:w="7231" w:type="dxa"/>
          </w:tcPr>
          <w:p w14:paraId="4341A1D5" w14:textId="77777777" w:rsidR="006A1534" w:rsidRDefault="00937C0E" w:rsidP="000B12EC">
            <w:pPr>
              <w:pStyle w:val="ListParagraph"/>
              <w:ind w:left="0"/>
              <w:rPr>
                <w:rFonts w:ascii="Calibri" w:hAnsi="Calibri"/>
              </w:rPr>
            </w:pPr>
            <w:r>
              <w:rPr>
                <w:rFonts w:ascii="Calibri" w:hAnsi="Calibri"/>
              </w:rPr>
              <w:t xml:space="preserve">The following announcements were made: </w:t>
            </w:r>
          </w:p>
          <w:p w14:paraId="5EF4667C" w14:textId="77777777" w:rsidR="00937C0E" w:rsidRDefault="00937C0E" w:rsidP="000B12EC">
            <w:pPr>
              <w:pStyle w:val="ListParagraph"/>
              <w:ind w:left="0"/>
              <w:rPr>
                <w:rFonts w:ascii="Calibri" w:hAnsi="Calibri"/>
              </w:rPr>
            </w:pPr>
          </w:p>
          <w:p w14:paraId="29822BD5" w14:textId="21F403CD" w:rsidR="00937C0E" w:rsidRDefault="006A1534" w:rsidP="00937C0E">
            <w:pPr>
              <w:pStyle w:val="ListParagraph"/>
              <w:numPr>
                <w:ilvl w:val="0"/>
                <w:numId w:val="35"/>
              </w:numPr>
              <w:rPr>
                <w:rFonts w:ascii="Calibri" w:hAnsi="Calibri"/>
              </w:rPr>
            </w:pPr>
            <w:r>
              <w:rPr>
                <w:rFonts w:ascii="Calibri" w:hAnsi="Calibri"/>
              </w:rPr>
              <w:t>QDM 4.1 will be released</w:t>
            </w:r>
            <w:r w:rsidR="00937C0E">
              <w:rPr>
                <w:rFonts w:ascii="Calibri" w:hAnsi="Calibri"/>
              </w:rPr>
              <w:t xml:space="preserve"> at the</w:t>
            </w:r>
            <w:r>
              <w:rPr>
                <w:rFonts w:ascii="Calibri" w:hAnsi="Calibri"/>
              </w:rPr>
              <w:t xml:space="preserve"> end of July</w:t>
            </w:r>
            <w:r w:rsidR="00937C0E">
              <w:rPr>
                <w:rFonts w:ascii="Calibri" w:hAnsi="Calibri"/>
              </w:rPr>
              <w:t>, 2014. All updates in QDM 4.0 and 4.1 will be present in the July, 2014 Measure Authoring Tool (MAT) release.</w:t>
            </w:r>
            <w:r w:rsidR="009473FE">
              <w:rPr>
                <w:rFonts w:ascii="Calibri" w:hAnsi="Calibri"/>
              </w:rPr>
              <w:t xml:space="preserve"> To view the QDM changes present in each QDM version, visit jira.oncprojecttracking.org. </w:t>
            </w:r>
          </w:p>
          <w:p w14:paraId="6B1CF7D9" w14:textId="56E092C4" w:rsidR="000B12EC" w:rsidRDefault="00937C0E" w:rsidP="00937C0E">
            <w:pPr>
              <w:pStyle w:val="ListParagraph"/>
              <w:numPr>
                <w:ilvl w:val="0"/>
                <w:numId w:val="35"/>
              </w:numPr>
              <w:rPr>
                <w:rFonts w:ascii="Calibri" w:hAnsi="Calibri"/>
              </w:rPr>
            </w:pPr>
            <w:r>
              <w:rPr>
                <w:rFonts w:ascii="Calibri" w:hAnsi="Calibri"/>
              </w:rPr>
              <w:t xml:space="preserve">Save the date for a proposed QDM 4.1 training </w:t>
            </w:r>
            <w:r w:rsidR="006A1534">
              <w:rPr>
                <w:rFonts w:ascii="Calibri" w:hAnsi="Calibri"/>
              </w:rPr>
              <w:t>Tuesday, July 15</w:t>
            </w:r>
            <w:r>
              <w:rPr>
                <w:rFonts w:ascii="Calibri" w:hAnsi="Calibri"/>
              </w:rPr>
              <w:t>; confirmation pending</w:t>
            </w:r>
            <w:r w:rsidR="00CD5F09">
              <w:rPr>
                <w:rFonts w:ascii="Calibri" w:hAnsi="Calibri"/>
              </w:rPr>
              <w:t xml:space="preserve"> via email</w:t>
            </w:r>
            <w:r>
              <w:rPr>
                <w:rFonts w:ascii="Calibri" w:hAnsi="Calibri"/>
              </w:rPr>
              <w:t>.</w:t>
            </w:r>
          </w:p>
          <w:p w14:paraId="5231632C" w14:textId="574D1BB2" w:rsidR="00937C0E" w:rsidRPr="00937C0E" w:rsidRDefault="00937C0E" w:rsidP="00937C0E">
            <w:pPr>
              <w:pStyle w:val="ListParagraph"/>
              <w:numPr>
                <w:ilvl w:val="0"/>
                <w:numId w:val="35"/>
              </w:numPr>
              <w:rPr>
                <w:rFonts w:ascii="Calibri" w:hAnsi="Calibri"/>
              </w:rPr>
            </w:pPr>
            <w:r>
              <w:rPr>
                <w:rFonts w:ascii="Calibri" w:hAnsi="Calibri"/>
              </w:rPr>
              <w:t>The QDM User Group may change its monthly meeting time, beginning in July, 2014, to 2:30 –</w:t>
            </w:r>
            <w:r w:rsidR="00C9431A">
              <w:rPr>
                <w:rFonts w:ascii="Calibri" w:hAnsi="Calibri"/>
              </w:rPr>
              <w:t xml:space="preserve"> 4:30 pm Eastern Time</w:t>
            </w:r>
            <w:r>
              <w:rPr>
                <w:rFonts w:ascii="Calibri" w:hAnsi="Calibri"/>
              </w:rPr>
              <w:t xml:space="preserve">; </w:t>
            </w:r>
            <w:r w:rsidR="00307276">
              <w:rPr>
                <w:rFonts w:ascii="Calibri" w:hAnsi="Calibri"/>
              </w:rPr>
              <w:t xml:space="preserve">contact </w:t>
            </w:r>
            <w:hyperlink r:id="rId13" w:history="1">
              <w:r w:rsidR="00307276" w:rsidRPr="00801647">
                <w:rPr>
                  <w:rStyle w:val="Hyperlink"/>
                  <w:rFonts w:ascii="Calibri" w:hAnsi="Calibri" w:cstheme="minorBidi"/>
                </w:rPr>
                <w:t>qdm@mitre.org</w:t>
              </w:r>
            </w:hyperlink>
            <w:r w:rsidR="00307276">
              <w:rPr>
                <w:rFonts w:ascii="Calibri" w:hAnsi="Calibri"/>
              </w:rPr>
              <w:t xml:space="preserve"> if this new time would prohibit you from participating in future meetings</w:t>
            </w:r>
            <w:r>
              <w:rPr>
                <w:rFonts w:ascii="Calibri" w:hAnsi="Calibri"/>
              </w:rPr>
              <w:t xml:space="preserve">. </w:t>
            </w:r>
          </w:p>
          <w:p w14:paraId="32AB32F3" w14:textId="442C6D68" w:rsidR="006A1534" w:rsidRPr="00937C0E" w:rsidRDefault="00937C0E" w:rsidP="00307276">
            <w:pPr>
              <w:pStyle w:val="ListParagraph"/>
              <w:numPr>
                <w:ilvl w:val="0"/>
                <w:numId w:val="35"/>
              </w:numPr>
              <w:rPr>
                <w:rFonts w:ascii="Calibri" w:hAnsi="Calibri"/>
              </w:rPr>
            </w:pPr>
            <w:r>
              <w:rPr>
                <w:rFonts w:ascii="Calibri" w:hAnsi="Calibri"/>
              </w:rPr>
              <w:t xml:space="preserve">Send recommended topics and questions for </w:t>
            </w:r>
            <w:r w:rsidR="00307276">
              <w:rPr>
                <w:rFonts w:ascii="Calibri" w:hAnsi="Calibri"/>
              </w:rPr>
              <w:t xml:space="preserve">the July, 2014 </w:t>
            </w:r>
            <w:r>
              <w:rPr>
                <w:rFonts w:ascii="Calibri" w:hAnsi="Calibri"/>
              </w:rPr>
              <w:t xml:space="preserve">User Group </w:t>
            </w:r>
            <w:r w:rsidR="00307276">
              <w:rPr>
                <w:rFonts w:ascii="Calibri" w:hAnsi="Calibri"/>
              </w:rPr>
              <w:t xml:space="preserve">meeting </w:t>
            </w:r>
            <w:r>
              <w:rPr>
                <w:rFonts w:ascii="Calibri" w:hAnsi="Calibri"/>
              </w:rPr>
              <w:t>to qdm@mitre.org.</w:t>
            </w:r>
          </w:p>
        </w:tc>
        <w:tc>
          <w:tcPr>
            <w:tcW w:w="0" w:type="auto"/>
          </w:tcPr>
          <w:p w14:paraId="6CCE6905" w14:textId="77777777" w:rsidR="00427071" w:rsidRDefault="00427071" w:rsidP="007A34A2">
            <w:pPr>
              <w:ind w:left="0"/>
              <w:rPr>
                <w:rFonts w:ascii="Calibri" w:hAnsi="Calibri"/>
              </w:rPr>
            </w:pPr>
          </w:p>
        </w:tc>
      </w:tr>
      <w:tr w:rsidR="00220E79" w:rsidRPr="00DF7E73" w14:paraId="0B659A96" w14:textId="77777777" w:rsidTr="00AF62F6">
        <w:trPr>
          <w:trHeight w:val="843"/>
        </w:trPr>
        <w:tc>
          <w:tcPr>
            <w:tcW w:w="0" w:type="auto"/>
          </w:tcPr>
          <w:p w14:paraId="099026D6" w14:textId="2CF4F5A0" w:rsidR="00220E79" w:rsidRDefault="00220E79" w:rsidP="007A34A2">
            <w:pPr>
              <w:ind w:left="0"/>
              <w:rPr>
                <w:rFonts w:ascii="Calibri" w:hAnsi="Calibri"/>
              </w:rPr>
            </w:pPr>
            <w:r>
              <w:rPr>
                <w:rFonts w:ascii="Calibri" w:hAnsi="Calibri"/>
              </w:rPr>
              <w:t>Status Update</w:t>
            </w:r>
          </w:p>
        </w:tc>
        <w:tc>
          <w:tcPr>
            <w:tcW w:w="0" w:type="auto"/>
          </w:tcPr>
          <w:p w14:paraId="7A2E9C95" w14:textId="038D1F6B" w:rsidR="00220E79" w:rsidRDefault="00220E79" w:rsidP="00F44EB1">
            <w:pPr>
              <w:ind w:left="0"/>
              <w:rPr>
                <w:rFonts w:ascii="Calibri" w:hAnsi="Calibri"/>
              </w:rPr>
            </w:pPr>
            <w:r>
              <w:rPr>
                <w:rFonts w:ascii="Calibri" w:hAnsi="Calibri"/>
              </w:rPr>
              <w:t>1:05</w:t>
            </w:r>
            <w:r w:rsidR="00937C0E">
              <w:rPr>
                <w:rFonts w:ascii="Calibri" w:hAnsi="Calibri"/>
              </w:rPr>
              <w:t xml:space="preserve"> Chris</w:t>
            </w:r>
          </w:p>
        </w:tc>
        <w:tc>
          <w:tcPr>
            <w:tcW w:w="3183" w:type="dxa"/>
          </w:tcPr>
          <w:p w14:paraId="6939ECD9" w14:textId="20257A88" w:rsidR="00220E79" w:rsidRDefault="00F5077A" w:rsidP="00AE39A1">
            <w:pPr>
              <w:ind w:left="0"/>
            </w:pPr>
            <w:hyperlink r:id="rId14" w:history="1">
              <w:r w:rsidR="00220E79">
                <w:rPr>
                  <w:rStyle w:val="Hyperlink"/>
                  <w:rFonts w:ascii="Calibri" w:hAnsi="Calibri" w:cstheme="minorBidi"/>
                </w:rPr>
                <w:t>QDM-16</w:t>
              </w:r>
            </w:hyperlink>
            <w:r w:rsidR="00220E79">
              <w:rPr>
                <w:rFonts w:ascii="Calibri" w:hAnsi="Calibri"/>
              </w:rPr>
              <w:t xml:space="preserve">: Address Cumulative Medication Duration temporal references </w:t>
            </w:r>
          </w:p>
        </w:tc>
        <w:tc>
          <w:tcPr>
            <w:tcW w:w="7231" w:type="dxa"/>
          </w:tcPr>
          <w:p w14:paraId="63FCD158" w14:textId="77777777" w:rsidR="00937C0E" w:rsidRDefault="00937C0E" w:rsidP="00AF62F6">
            <w:pPr>
              <w:pStyle w:val="ListParagraph"/>
              <w:spacing w:before="0" w:after="0"/>
              <w:ind w:left="0"/>
              <w:rPr>
                <w:rFonts w:ascii="Calibri" w:hAnsi="Calibri"/>
              </w:rPr>
            </w:pPr>
            <w:r>
              <w:rPr>
                <w:rFonts w:ascii="Calibri" w:hAnsi="Calibri"/>
              </w:rPr>
              <w:t>The following status update was provided: The Cumulative Medication Duration (CMD) subgroup has advanced a 2014 interim solution. The solution involves:</w:t>
            </w:r>
          </w:p>
          <w:p w14:paraId="3FB9E8C9" w14:textId="51C0DF48" w:rsidR="00937C0E" w:rsidRDefault="00937C0E" w:rsidP="00AF62F6">
            <w:pPr>
              <w:pStyle w:val="ListParagraph"/>
              <w:numPr>
                <w:ilvl w:val="0"/>
                <w:numId w:val="36"/>
              </w:numPr>
              <w:spacing w:before="0" w:after="0"/>
              <w:rPr>
                <w:rFonts w:ascii="Calibri" w:hAnsi="Calibri"/>
              </w:rPr>
            </w:pPr>
            <w:r>
              <w:rPr>
                <w:rFonts w:ascii="Calibri" w:hAnsi="Calibri"/>
              </w:rPr>
              <w:t xml:space="preserve">Using the SUM operator with the </w:t>
            </w:r>
            <w:r w:rsidR="00307276">
              <w:rPr>
                <w:rFonts w:ascii="Calibri" w:hAnsi="Calibri"/>
              </w:rPr>
              <w:t xml:space="preserve">‘cumulative medication duration’ </w:t>
            </w:r>
            <w:r w:rsidR="00C9431A">
              <w:rPr>
                <w:rFonts w:ascii="Calibri" w:hAnsi="Calibri"/>
              </w:rPr>
              <w:t>attribute for Medication data</w:t>
            </w:r>
            <w:r>
              <w:rPr>
                <w:rFonts w:ascii="Calibri" w:hAnsi="Calibri"/>
              </w:rPr>
              <w:t>types; or</w:t>
            </w:r>
          </w:p>
          <w:p w14:paraId="3DB07462" w14:textId="69F962B9" w:rsidR="00937C0E" w:rsidRDefault="00307276" w:rsidP="00AF62F6">
            <w:pPr>
              <w:pStyle w:val="ListParagraph"/>
              <w:numPr>
                <w:ilvl w:val="0"/>
                <w:numId w:val="36"/>
              </w:numPr>
              <w:spacing w:before="0" w:after="0"/>
              <w:rPr>
                <w:rFonts w:ascii="Calibri" w:hAnsi="Calibri"/>
              </w:rPr>
            </w:pPr>
            <w:r>
              <w:rPr>
                <w:rFonts w:ascii="Calibri" w:hAnsi="Calibri"/>
              </w:rPr>
              <w:t>P</w:t>
            </w:r>
            <w:r w:rsidR="00C9431A">
              <w:rPr>
                <w:rFonts w:ascii="Calibri" w:hAnsi="Calibri"/>
              </w:rPr>
              <w:t>roviding</w:t>
            </w:r>
            <w:r w:rsidR="00937C0E">
              <w:rPr>
                <w:rFonts w:ascii="Calibri" w:hAnsi="Calibri"/>
              </w:rPr>
              <w:t xml:space="preserve"> </w:t>
            </w:r>
            <w:r w:rsidR="00C9431A">
              <w:rPr>
                <w:rFonts w:ascii="Calibri" w:hAnsi="Calibri"/>
              </w:rPr>
              <w:t xml:space="preserve">calculation </w:t>
            </w:r>
            <w:r w:rsidR="00937C0E">
              <w:rPr>
                <w:rFonts w:ascii="Calibri" w:hAnsi="Calibri"/>
              </w:rPr>
              <w:t xml:space="preserve">guidance in the measure </w:t>
            </w:r>
            <w:r>
              <w:rPr>
                <w:rFonts w:ascii="Calibri" w:hAnsi="Calibri"/>
              </w:rPr>
              <w:t>when the interim solution is not sufficient or appropriate</w:t>
            </w:r>
            <w:r w:rsidR="00937C0E">
              <w:rPr>
                <w:rFonts w:ascii="Calibri" w:hAnsi="Calibri"/>
              </w:rPr>
              <w:t xml:space="preserve">. </w:t>
            </w:r>
          </w:p>
          <w:p w14:paraId="0E7C405E" w14:textId="77777777" w:rsidR="006A1534" w:rsidRDefault="006A1534" w:rsidP="00AF62F6">
            <w:pPr>
              <w:pStyle w:val="ListParagraph"/>
              <w:spacing w:before="0" w:after="0"/>
              <w:ind w:left="0"/>
              <w:rPr>
                <w:rFonts w:ascii="Calibri" w:hAnsi="Calibri"/>
              </w:rPr>
            </w:pPr>
          </w:p>
          <w:p w14:paraId="6E40303F" w14:textId="0CFC0702" w:rsidR="006A1534" w:rsidRDefault="009473FE" w:rsidP="00307276">
            <w:pPr>
              <w:pStyle w:val="ListParagraph"/>
              <w:spacing w:before="0" w:after="0"/>
              <w:ind w:left="0"/>
              <w:rPr>
                <w:rFonts w:ascii="Calibri" w:hAnsi="Calibri"/>
              </w:rPr>
            </w:pPr>
            <w:r>
              <w:rPr>
                <w:rFonts w:ascii="Calibri" w:hAnsi="Calibri"/>
              </w:rPr>
              <w:t xml:space="preserve">This solution was approved by the Measure Authoring Tool Change Control Board (MCCB), and will be incorporated into QDM 4.1.  </w:t>
            </w:r>
            <w:r w:rsidR="00937C0E">
              <w:rPr>
                <w:rFonts w:ascii="Calibri" w:hAnsi="Calibri"/>
              </w:rPr>
              <w:t xml:space="preserve">The </w:t>
            </w:r>
            <w:r w:rsidR="00307276">
              <w:rPr>
                <w:rFonts w:ascii="Calibri" w:hAnsi="Calibri"/>
              </w:rPr>
              <w:t xml:space="preserve">QDM community </w:t>
            </w:r>
            <w:r w:rsidR="00937C0E">
              <w:rPr>
                <w:rFonts w:ascii="Calibri" w:hAnsi="Calibri"/>
              </w:rPr>
              <w:t xml:space="preserve">will continue to </w:t>
            </w:r>
            <w:r w:rsidR="00307276">
              <w:rPr>
                <w:rFonts w:ascii="Calibri" w:hAnsi="Calibri"/>
              </w:rPr>
              <w:t xml:space="preserve">seek a </w:t>
            </w:r>
            <w:r w:rsidR="00937C0E">
              <w:rPr>
                <w:rFonts w:ascii="Calibri" w:hAnsi="Calibri"/>
              </w:rPr>
              <w:t xml:space="preserve">more robust </w:t>
            </w:r>
            <w:r w:rsidR="00307276">
              <w:rPr>
                <w:rFonts w:ascii="Calibri" w:hAnsi="Calibri"/>
              </w:rPr>
              <w:t>solution for implementation post-2014.</w:t>
            </w:r>
          </w:p>
        </w:tc>
        <w:tc>
          <w:tcPr>
            <w:tcW w:w="0" w:type="auto"/>
          </w:tcPr>
          <w:p w14:paraId="2F87E4E9" w14:textId="77777777" w:rsidR="00220E79" w:rsidRPr="00DF7E73" w:rsidRDefault="00220E79" w:rsidP="007A34A2">
            <w:pPr>
              <w:ind w:left="0"/>
              <w:rPr>
                <w:rFonts w:ascii="Calibri" w:hAnsi="Calibri"/>
              </w:rPr>
            </w:pPr>
          </w:p>
        </w:tc>
      </w:tr>
      <w:tr w:rsidR="00220E79" w:rsidRPr="00DF7E73" w14:paraId="42CF0C69" w14:textId="77777777" w:rsidTr="00C9431A">
        <w:trPr>
          <w:trHeight w:val="350"/>
        </w:trPr>
        <w:tc>
          <w:tcPr>
            <w:tcW w:w="0" w:type="auto"/>
          </w:tcPr>
          <w:p w14:paraId="284FFFB1" w14:textId="356DBBAE" w:rsidR="00220E79" w:rsidRDefault="00220E79" w:rsidP="007A34A2">
            <w:pPr>
              <w:ind w:left="0"/>
              <w:rPr>
                <w:rFonts w:ascii="Calibri" w:hAnsi="Calibri"/>
              </w:rPr>
            </w:pPr>
            <w:r>
              <w:rPr>
                <w:rFonts w:ascii="Calibri" w:hAnsi="Calibri"/>
              </w:rPr>
              <w:t>QDM 4.0 Feedback</w:t>
            </w:r>
          </w:p>
        </w:tc>
        <w:tc>
          <w:tcPr>
            <w:tcW w:w="0" w:type="auto"/>
          </w:tcPr>
          <w:p w14:paraId="2010E58C" w14:textId="0ADF9B26" w:rsidR="00220E79" w:rsidRPr="00220E79" w:rsidRDefault="009473FE" w:rsidP="00F44EB1">
            <w:pPr>
              <w:ind w:left="0"/>
              <w:rPr>
                <w:rFonts w:ascii="Calibri" w:hAnsi="Calibri"/>
              </w:rPr>
            </w:pPr>
            <w:r>
              <w:rPr>
                <w:rFonts w:ascii="Calibri" w:hAnsi="Calibri"/>
              </w:rPr>
              <w:t>1:05</w:t>
            </w:r>
            <w:r w:rsidR="00937C0E">
              <w:rPr>
                <w:rFonts w:ascii="Calibri" w:hAnsi="Calibri"/>
              </w:rPr>
              <w:t xml:space="preserve"> Chris</w:t>
            </w:r>
          </w:p>
        </w:tc>
        <w:tc>
          <w:tcPr>
            <w:tcW w:w="3183" w:type="dxa"/>
          </w:tcPr>
          <w:p w14:paraId="4342E0D5" w14:textId="47200171" w:rsidR="00220E79" w:rsidRPr="00220E79" w:rsidRDefault="00220E79" w:rsidP="00CC1F98">
            <w:pPr>
              <w:ind w:left="0"/>
              <w:rPr>
                <w:rFonts w:ascii="Calibri" w:hAnsi="Calibri"/>
              </w:rPr>
            </w:pPr>
            <w:r w:rsidRPr="00220E79">
              <w:rPr>
                <w:rFonts w:ascii="Calibri" w:hAnsi="Calibri"/>
              </w:rPr>
              <w:t>Discuss fe</w:t>
            </w:r>
            <w:r w:rsidR="00AF62F6">
              <w:rPr>
                <w:rFonts w:ascii="Calibri" w:hAnsi="Calibri"/>
              </w:rPr>
              <w:t>edback on the QDM 4.0 Specificat</w:t>
            </w:r>
            <w:r w:rsidRPr="00220E79">
              <w:rPr>
                <w:rFonts w:ascii="Calibri" w:hAnsi="Calibri"/>
              </w:rPr>
              <w:t>ion</w:t>
            </w:r>
          </w:p>
        </w:tc>
        <w:tc>
          <w:tcPr>
            <w:tcW w:w="7231" w:type="dxa"/>
          </w:tcPr>
          <w:p w14:paraId="77B83553" w14:textId="3BA5885B" w:rsidR="00220E79" w:rsidRPr="00307276" w:rsidRDefault="009473FE" w:rsidP="00307276">
            <w:pPr>
              <w:pStyle w:val="ListParagraph"/>
              <w:spacing w:before="0" w:after="0"/>
              <w:ind w:left="72" w:hanging="72"/>
              <w:rPr>
                <w:rFonts w:ascii="Calibri" w:hAnsi="Calibri"/>
              </w:rPr>
            </w:pPr>
            <w:r>
              <w:rPr>
                <w:rFonts w:ascii="Calibri" w:hAnsi="Calibri"/>
              </w:rPr>
              <w:t>Feedback on the specification’s</w:t>
            </w:r>
            <w:r w:rsidR="006A1534">
              <w:rPr>
                <w:rFonts w:ascii="Calibri" w:hAnsi="Calibri"/>
              </w:rPr>
              <w:t xml:space="preserve"> layout</w:t>
            </w:r>
            <w:r w:rsidR="00307276">
              <w:rPr>
                <w:rFonts w:ascii="Calibri" w:hAnsi="Calibri"/>
              </w:rPr>
              <w:t xml:space="preserve">, </w:t>
            </w:r>
            <w:r w:rsidR="006A1534">
              <w:rPr>
                <w:rFonts w:ascii="Calibri" w:hAnsi="Calibri"/>
              </w:rPr>
              <w:t>structure</w:t>
            </w:r>
            <w:r w:rsidR="00307276">
              <w:rPr>
                <w:rFonts w:ascii="Calibri" w:hAnsi="Calibri"/>
              </w:rPr>
              <w:t>, and readability</w:t>
            </w:r>
            <w:r w:rsidR="006A1534">
              <w:rPr>
                <w:rFonts w:ascii="Calibri" w:hAnsi="Calibri"/>
              </w:rPr>
              <w:t xml:space="preserve"> </w:t>
            </w:r>
            <w:r>
              <w:rPr>
                <w:rFonts w:ascii="Calibri" w:hAnsi="Calibri"/>
              </w:rPr>
              <w:t xml:space="preserve">should be sent to </w:t>
            </w:r>
            <w:hyperlink r:id="rId15" w:history="1">
              <w:r w:rsidRPr="009473FE">
                <w:rPr>
                  <w:rStyle w:val="Hyperlink"/>
                  <w:rFonts w:ascii="Calibri" w:hAnsi="Calibri" w:cstheme="minorBidi"/>
                  <w:u w:val="none"/>
                </w:rPr>
                <w:t>qdm@mitre.org</w:t>
              </w:r>
            </w:hyperlink>
            <w:r w:rsidRPr="009473FE">
              <w:rPr>
                <w:rFonts w:ascii="Calibri" w:hAnsi="Calibri"/>
              </w:rPr>
              <w:t>.</w:t>
            </w:r>
            <w:r>
              <w:rPr>
                <w:rFonts w:ascii="Calibri" w:hAnsi="Calibri"/>
              </w:rPr>
              <w:t xml:space="preserve"> </w:t>
            </w:r>
          </w:p>
        </w:tc>
        <w:tc>
          <w:tcPr>
            <w:tcW w:w="0" w:type="auto"/>
          </w:tcPr>
          <w:p w14:paraId="70E2AB35" w14:textId="77777777" w:rsidR="00220E79" w:rsidRPr="00DF7E73" w:rsidRDefault="00220E79" w:rsidP="007A34A2">
            <w:pPr>
              <w:ind w:left="0"/>
              <w:rPr>
                <w:rFonts w:ascii="Calibri" w:hAnsi="Calibri"/>
              </w:rPr>
            </w:pPr>
          </w:p>
        </w:tc>
      </w:tr>
      <w:tr w:rsidR="00220E79" w:rsidRPr="00DF7E73" w14:paraId="2C0049C8" w14:textId="77777777" w:rsidTr="00212750">
        <w:trPr>
          <w:trHeight w:val="843"/>
        </w:trPr>
        <w:tc>
          <w:tcPr>
            <w:tcW w:w="0" w:type="auto"/>
            <w:vMerge w:val="restart"/>
          </w:tcPr>
          <w:p w14:paraId="00E32245" w14:textId="61B5E19C" w:rsidR="00220E79" w:rsidRDefault="00937C0E" w:rsidP="007A34A2">
            <w:pPr>
              <w:ind w:left="0"/>
              <w:rPr>
                <w:rFonts w:ascii="Calibri" w:hAnsi="Calibri"/>
              </w:rPr>
            </w:pPr>
            <w:r>
              <w:rPr>
                <w:rFonts w:ascii="Calibri" w:hAnsi="Calibri"/>
              </w:rPr>
              <w:lastRenderedPageBreak/>
              <w:t xml:space="preserve"> Chris </w:t>
            </w:r>
            <w:r w:rsidR="00220E79">
              <w:rPr>
                <w:rFonts w:ascii="Calibri" w:hAnsi="Calibri"/>
              </w:rPr>
              <w:t>QDM Issue Review</w:t>
            </w:r>
          </w:p>
        </w:tc>
        <w:tc>
          <w:tcPr>
            <w:tcW w:w="0" w:type="auto"/>
          </w:tcPr>
          <w:p w14:paraId="24A66DC3" w14:textId="6D1DDFB5" w:rsidR="00220E79" w:rsidRDefault="009473FE" w:rsidP="008C1373">
            <w:pPr>
              <w:ind w:left="0"/>
              <w:rPr>
                <w:rFonts w:ascii="Calibri" w:hAnsi="Calibri"/>
              </w:rPr>
            </w:pPr>
            <w:r>
              <w:rPr>
                <w:rFonts w:ascii="Calibri" w:hAnsi="Calibri"/>
              </w:rPr>
              <w:t>1:10</w:t>
            </w:r>
            <w:r w:rsidR="00937C0E">
              <w:rPr>
                <w:rFonts w:ascii="Calibri" w:hAnsi="Calibri"/>
              </w:rPr>
              <w:t xml:space="preserve"> Chris</w:t>
            </w:r>
          </w:p>
        </w:tc>
        <w:tc>
          <w:tcPr>
            <w:tcW w:w="3183" w:type="dxa"/>
          </w:tcPr>
          <w:p w14:paraId="1FCD8A44" w14:textId="2996B4B3" w:rsidR="00220E79" w:rsidRDefault="00F5077A" w:rsidP="00CC1F98">
            <w:pPr>
              <w:ind w:left="0"/>
            </w:pPr>
            <w:hyperlink r:id="rId16" w:history="1">
              <w:r w:rsidR="00220E79">
                <w:rPr>
                  <w:rStyle w:val="Hyperlink"/>
                  <w:rFonts w:ascii="Calibri" w:hAnsi="Calibri" w:cstheme="minorBidi"/>
                </w:rPr>
                <w:t>QDM-48</w:t>
              </w:r>
            </w:hyperlink>
            <w:r w:rsidR="00220E79">
              <w:rPr>
                <w:rFonts w:ascii="Calibri" w:hAnsi="Calibri"/>
              </w:rPr>
              <w:t>: New standard element to represent the concept of a provider receiving a referral reque</w:t>
            </w:r>
            <w:r w:rsidR="008362D5">
              <w:rPr>
                <w:rFonts w:ascii="Calibri" w:hAnsi="Calibri"/>
              </w:rPr>
              <w:t>st (continued from 4/30</w:t>
            </w:r>
            <w:r w:rsidR="00220E79">
              <w:rPr>
                <w:rFonts w:ascii="Calibri" w:hAnsi="Calibri"/>
              </w:rPr>
              <w:t>)</w:t>
            </w:r>
          </w:p>
        </w:tc>
        <w:tc>
          <w:tcPr>
            <w:tcW w:w="7231" w:type="dxa"/>
          </w:tcPr>
          <w:p w14:paraId="314C9E3F" w14:textId="521CE821" w:rsidR="00220E79" w:rsidRDefault="003D0AB2" w:rsidP="00A27EA4">
            <w:pPr>
              <w:ind w:left="0"/>
              <w:rPr>
                <w:rFonts w:ascii="Calibri" w:hAnsi="Calibri"/>
              </w:rPr>
            </w:pPr>
            <w:r>
              <w:rPr>
                <w:rFonts w:ascii="Calibri" w:hAnsi="Calibri"/>
              </w:rPr>
              <w:t xml:space="preserve">In follow-up to a previous User Group </w:t>
            </w:r>
            <w:r w:rsidR="00307276">
              <w:rPr>
                <w:rFonts w:ascii="Calibri" w:hAnsi="Calibri"/>
              </w:rPr>
              <w:t>discussion regarding “closing the referral loop” measures</w:t>
            </w:r>
            <w:r>
              <w:rPr>
                <w:rFonts w:ascii="Calibri" w:hAnsi="Calibri"/>
              </w:rPr>
              <w:t xml:space="preserve">, the measure steward </w:t>
            </w:r>
            <w:r w:rsidR="00307276">
              <w:rPr>
                <w:rFonts w:ascii="Calibri" w:hAnsi="Calibri"/>
              </w:rPr>
              <w:t xml:space="preserve">for the affected </w:t>
            </w:r>
            <w:r>
              <w:rPr>
                <w:rFonts w:ascii="Calibri" w:hAnsi="Calibri"/>
              </w:rPr>
              <w:t>Meaningful Use (MU) Stage 3 measure</w:t>
            </w:r>
            <w:r w:rsidR="00307276">
              <w:rPr>
                <w:rFonts w:ascii="Calibri" w:hAnsi="Calibri"/>
              </w:rPr>
              <w:t>s</w:t>
            </w:r>
            <w:r>
              <w:rPr>
                <w:rFonts w:ascii="Calibri" w:hAnsi="Calibri"/>
              </w:rPr>
              <w:t xml:space="preserve"> was consulted. A potential solution was presented for U</w:t>
            </w:r>
            <w:r w:rsidR="00A27EA4">
              <w:rPr>
                <w:rFonts w:ascii="Calibri" w:hAnsi="Calibri"/>
              </w:rPr>
              <w:t xml:space="preserve">ser Group discussion: use </w:t>
            </w:r>
            <w:r w:rsidR="00307276">
              <w:rPr>
                <w:rFonts w:ascii="Calibri" w:hAnsi="Calibri"/>
              </w:rPr>
              <w:t>a new attribute</w:t>
            </w:r>
            <w:r w:rsidR="00A27EA4">
              <w:rPr>
                <w:rFonts w:ascii="Calibri" w:hAnsi="Calibri"/>
              </w:rPr>
              <w:t xml:space="preserve"> (received: true) in measure logic to verify that a referral was received by the entity being measured. </w:t>
            </w:r>
          </w:p>
          <w:p w14:paraId="141E907D" w14:textId="7399BECF" w:rsidR="00A27EA4" w:rsidRDefault="00A27EA4" w:rsidP="00A27EA4">
            <w:pPr>
              <w:ind w:left="0"/>
              <w:rPr>
                <w:rFonts w:ascii="Calibri" w:hAnsi="Calibri"/>
              </w:rPr>
            </w:pPr>
            <w:r>
              <w:rPr>
                <w:rFonts w:ascii="Calibri" w:hAnsi="Calibri"/>
              </w:rPr>
              <w:t xml:space="preserve">The User Group raised the following discussion topics: </w:t>
            </w:r>
          </w:p>
          <w:p w14:paraId="6C39FC43" w14:textId="69C0F751" w:rsidR="00A27EA4" w:rsidRDefault="00A27EA4" w:rsidP="00A27EA4">
            <w:pPr>
              <w:pStyle w:val="ListParagraph"/>
              <w:numPr>
                <w:ilvl w:val="0"/>
                <w:numId w:val="37"/>
              </w:numPr>
              <w:rPr>
                <w:rFonts w:ascii="Calibri" w:hAnsi="Calibri"/>
              </w:rPr>
            </w:pPr>
            <w:r>
              <w:rPr>
                <w:rFonts w:ascii="Calibri" w:hAnsi="Calibri"/>
              </w:rPr>
              <w:t>Do other use cases require similar logic</w:t>
            </w:r>
            <w:r w:rsidR="00307276">
              <w:rPr>
                <w:rFonts w:ascii="Calibri" w:hAnsi="Calibri"/>
              </w:rPr>
              <w:t xml:space="preserve"> (e.g. transmitting careplans)</w:t>
            </w:r>
          </w:p>
          <w:p w14:paraId="547CE0F2" w14:textId="1E25F999" w:rsidR="00A27EA4" w:rsidRDefault="00307276" w:rsidP="00A27EA4">
            <w:pPr>
              <w:pStyle w:val="ListParagraph"/>
              <w:numPr>
                <w:ilvl w:val="0"/>
                <w:numId w:val="37"/>
              </w:numPr>
              <w:rPr>
                <w:rFonts w:ascii="Calibri" w:hAnsi="Calibri"/>
              </w:rPr>
            </w:pPr>
            <w:r>
              <w:rPr>
                <w:rFonts w:ascii="Calibri" w:hAnsi="Calibri"/>
              </w:rPr>
              <w:t>Other potential representations (e.g., “(received)” without explicit value)</w:t>
            </w:r>
          </w:p>
          <w:p w14:paraId="5F366461" w14:textId="224E7649" w:rsidR="00307276" w:rsidRDefault="00307276" w:rsidP="00A27EA4">
            <w:pPr>
              <w:pStyle w:val="ListParagraph"/>
              <w:numPr>
                <w:ilvl w:val="0"/>
                <w:numId w:val="37"/>
              </w:numPr>
              <w:rPr>
                <w:rFonts w:ascii="Calibri" w:hAnsi="Calibri"/>
              </w:rPr>
            </w:pPr>
            <w:r>
              <w:rPr>
                <w:rFonts w:ascii="Calibri" w:hAnsi="Calibri"/>
              </w:rPr>
              <w:t>Potential applicability of data flow attributes in previous versions of QDM</w:t>
            </w:r>
          </w:p>
          <w:p w14:paraId="2B3E0911" w14:textId="5DA3FC9E" w:rsidR="00F71ED5" w:rsidRDefault="00A27EA4" w:rsidP="00A27EA4">
            <w:pPr>
              <w:rPr>
                <w:rFonts w:ascii="Calibri" w:hAnsi="Calibri"/>
              </w:rPr>
            </w:pPr>
            <w:r>
              <w:rPr>
                <w:rFonts w:ascii="Calibri" w:hAnsi="Calibri"/>
              </w:rPr>
              <w:t>The User Group will</w:t>
            </w:r>
            <w:r w:rsidR="00674C59">
              <w:rPr>
                <w:rFonts w:ascii="Calibri" w:hAnsi="Calibri"/>
              </w:rPr>
              <w:t xml:space="preserve"> continue to discuss this issue.</w:t>
            </w:r>
          </w:p>
        </w:tc>
        <w:tc>
          <w:tcPr>
            <w:tcW w:w="0" w:type="auto"/>
          </w:tcPr>
          <w:p w14:paraId="05EE8F68" w14:textId="77777777" w:rsidR="00220E79" w:rsidRPr="00DF7E73" w:rsidRDefault="00220E79" w:rsidP="007A34A2">
            <w:pPr>
              <w:ind w:left="0"/>
              <w:rPr>
                <w:rFonts w:ascii="Calibri" w:hAnsi="Calibri"/>
              </w:rPr>
            </w:pPr>
          </w:p>
        </w:tc>
      </w:tr>
      <w:tr w:rsidR="00220E79" w:rsidRPr="00DF7E73" w14:paraId="230EC92D" w14:textId="77777777" w:rsidTr="00212750">
        <w:trPr>
          <w:trHeight w:val="843"/>
        </w:trPr>
        <w:tc>
          <w:tcPr>
            <w:tcW w:w="0" w:type="auto"/>
            <w:vMerge/>
          </w:tcPr>
          <w:p w14:paraId="08152160" w14:textId="44B5C816" w:rsidR="00220E79" w:rsidRPr="00DF7E73" w:rsidRDefault="00220E79" w:rsidP="007A34A2">
            <w:pPr>
              <w:ind w:left="0"/>
              <w:rPr>
                <w:rFonts w:ascii="Calibri" w:hAnsi="Calibri"/>
              </w:rPr>
            </w:pPr>
          </w:p>
        </w:tc>
        <w:tc>
          <w:tcPr>
            <w:tcW w:w="0" w:type="auto"/>
          </w:tcPr>
          <w:p w14:paraId="2DAE2735" w14:textId="237AE9C2" w:rsidR="00220E79" w:rsidRPr="00DF7E73" w:rsidRDefault="00220E79" w:rsidP="008C1373">
            <w:pPr>
              <w:ind w:left="0"/>
              <w:rPr>
                <w:rFonts w:ascii="Calibri" w:hAnsi="Calibri"/>
              </w:rPr>
            </w:pPr>
            <w:r>
              <w:rPr>
                <w:rFonts w:ascii="Calibri" w:hAnsi="Calibri"/>
              </w:rPr>
              <w:t>1:</w:t>
            </w:r>
            <w:r w:rsidR="00A27EA4">
              <w:rPr>
                <w:rFonts w:ascii="Calibri" w:hAnsi="Calibri"/>
              </w:rPr>
              <w:t>25</w:t>
            </w:r>
            <w:r w:rsidR="00937C0E">
              <w:rPr>
                <w:rFonts w:ascii="Calibri" w:hAnsi="Calibri"/>
              </w:rPr>
              <w:t xml:space="preserve"> Chris</w:t>
            </w:r>
          </w:p>
        </w:tc>
        <w:tc>
          <w:tcPr>
            <w:tcW w:w="3183" w:type="dxa"/>
          </w:tcPr>
          <w:p w14:paraId="10D4CD91" w14:textId="20761D4B" w:rsidR="00220E79" w:rsidRPr="00DF7E73" w:rsidRDefault="00F5077A" w:rsidP="00200302">
            <w:pPr>
              <w:ind w:left="0"/>
              <w:rPr>
                <w:rFonts w:ascii="Calibri" w:hAnsi="Calibri"/>
              </w:rPr>
            </w:pPr>
            <w:hyperlink r:id="rId17" w:history="1">
              <w:r w:rsidR="00220E79">
                <w:rPr>
                  <w:rStyle w:val="Hyperlink"/>
                  <w:rFonts w:ascii="Calibri" w:hAnsi="Calibri" w:cs="Tahoma"/>
                </w:rPr>
                <w:t>QDM-59</w:t>
              </w:r>
            </w:hyperlink>
            <w:r w:rsidR="00220E79" w:rsidRPr="009740C4">
              <w:rPr>
                <w:rFonts w:ascii="Calibri" w:hAnsi="Calibri" w:cs="Tahoma"/>
              </w:rPr>
              <w:t xml:space="preserve">: </w:t>
            </w:r>
            <w:r w:rsidR="00220E79">
              <w:rPr>
                <w:rFonts w:ascii="Calibri" w:hAnsi="Calibri" w:cs="Arial"/>
                <w:color w:val="262626"/>
              </w:rPr>
              <w:t>Capturing events evidenced by external documentation (continued from 5/21)</w:t>
            </w:r>
          </w:p>
        </w:tc>
        <w:tc>
          <w:tcPr>
            <w:tcW w:w="7231" w:type="dxa"/>
          </w:tcPr>
          <w:p w14:paraId="35D5E1EE" w14:textId="3F1445EF" w:rsidR="00B13E94" w:rsidRDefault="00B13E94" w:rsidP="000B5A42">
            <w:pPr>
              <w:pStyle w:val="ListParagraph"/>
              <w:spacing w:before="0" w:after="0"/>
              <w:ind w:left="0"/>
              <w:rPr>
                <w:rFonts w:ascii="Calibri" w:hAnsi="Calibri"/>
              </w:rPr>
            </w:pPr>
            <w:r>
              <w:rPr>
                <w:rFonts w:ascii="Calibri" w:hAnsi="Calibri"/>
              </w:rPr>
              <w:t>In follow-up to the previous User Group meeting on how to capture</w:t>
            </w:r>
            <w:r w:rsidR="00674C59">
              <w:rPr>
                <w:rFonts w:ascii="Calibri" w:hAnsi="Calibri"/>
              </w:rPr>
              <w:t xml:space="preserve"> laboratory</w:t>
            </w:r>
            <w:r>
              <w:rPr>
                <w:rFonts w:ascii="Calibri" w:hAnsi="Calibri"/>
              </w:rPr>
              <w:t xml:space="preserve"> tests, or other events, performed externally to the entity being measured, a subgroup was convened to discuss the issue further. A proposed solution, described by Dr. Rob McClure, was presented to the User Group. </w:t>
            </w:r>
          </w:p>
          <w:p w14:paraId="38A32C6F" w14:textId="77777777" w:rsidR="00B13E94" w:rsidRDefault="00B13E94" w:rsidP="000B5A42">
            <w:pPr>
              <w:pStyle w:val="ListParagraph"/>
              <w:spacing w:before="0" w:after="0"/>
              <w:ind w:left="0"/>
              <w:rPr>
                <w:rFonts w:ascii="Calibri" w:hAnsi="Calibri"/>
              </w:rPr>
            </w:pPr>
          </w:p>
          <w:p w14:paraId="615CD2A1" w14:textId="2CA71383" w:rsidR="00B13E94" w:rsidRDefault="00B13E94" w:rsidP="000B5A42">
            <w:pPr>
              <w:pStyle w:val="ListParagraph"/>
              <w:spacing w:before="0" w:after="0"/>
              <w:ind w:left="0"/>
              <w:rPr>
                <w:rFonts w:ascii="Calibri" w:hAnsi="Calibri"/>
              </w:rPr>
            </w:pPr>
            <w:r>
              <w:rPr>
                <w:rFonts w:ascii="Calibri" w:hAnsi="Calibri"/>
              </w:rPr>
              <w:t xml:space="preserve">The solution, generally, would </w:t>
            </w:r>
            <w:r w:rsidR="00307276">
              <w:rPr>
                <w:rFonts w:ascii="Calibri" w:hAnsi="Calibri"/>
              </w:rPr>
              <w:t xml:space="preserve">allow clinicians to enter external events into an EHR such that they can be </w:t>
            </w:r>
            <w:r>
              <w:rPr>
                <w:rFonts w:ascii="Calibri" w:hAnsi="Calibri"/>
              </w:rPr>
              <w:t>treat</w:t>
            </w:r>
            <w:r w:rsidR="00307276">
              <w:rPr>
                <w:rFonts w:ascii="Calibri" w:hAnsi="Calibri"/>
              </w:rPr>
              <w:t>ed</w:t>
            </w:r>
            <w:r>
              <w:rPr>
                <w:rFonts w:ascii="Calibri" w:hAnsi="Calibri"/>
              </w:rPr>
              <w:t xml:space="preserve"> in the same way as</w:t>
            </w:r>
            <w:r w:rsidR="00674C59">
              <w:rPr>
                <w:rFonts w:ascii="Calibri" w:hAnsi="Calibri"/>
              </w:rPr>
              <w:t xml:space="preserve"> internally performed event</w:t>
            </w:r>
            <w:r w:rsidR="00307276">
              <w:rPr>
                <w:rFonts w:ascii="Calibri" w:hAnsi="Calibri"/>
              </w:rPr>
              <w:t>s</w:t>
            </w:r>
            <w:r>
              <w:rPr>
                <w:rFonts w:ascii="Calibri" w:hAnsi="Calibri"/>
              </w:rPr>
              <w:t xml:space="preserve">. This solution would not </w:t>
            </w:r>
            <w:r w:rsidR="00C9431A">
              <w:rPr>
                <w:rFonts w:ascii="Calibri" w:hAnsi="Calibri"/>
              </w:rPr>
              <w:t xml:space="preserve">change </w:t>
            </w:r>
            <w:r>
              <w:rPr>
                <w:rFonts w:ascii="Calibri" w:hAnsi="Calibri"/>
              </w:rPr>
              <w:t>the QDM, as no new data types or attributes are required.</w:t>
            </w:r>
            <w:r w:rsidR="00307276">
              <w:rPr>
                <w:rFonts w:ascii="Calibri" w:hAnsi="Calibri"/>
              </w:rPr>
              <w:t xml:space="preserve">  See QDM-59 for more details.</w:t>
            </w:r>
            <w:r>
              <w:rPr>
                <w:rFonts w:ascii="Calibri" w:hAnsi="Calibri"/>
              </w:rPr>
              <w:t xml:space="preserve"> </w:t>
            </w:r>
          </w:p>
          <w:p w14:paraId="2147200F" w14:textId="77777777" w:rsidR="00B13E94" w:rsidRDefault="00B13E94" w:rsidP="00B13E94">
            <w:pPr>
              <w:ind w:left="0"/>
              <w:rPr>
                <w:rFonts w:ascii="Calibri" w:hAnsi="Calibri"/>
              </w:rPr>
            </w:pPr>
            <w:r>
              <w:rPr>
                <w:rFonts w:ascii="Calibri" w:hAnsi="Calibri"/>
              </w:rPr>
              <w:t xml:space="preserve">The User Group raised the following discussion topics: </w:t>
            </w:r>
          </w:p>
          <w:p w14:paraId="40A59A1E" w14:textId="5C52C19D" w:rsidR="00B13E94" w:rsidRDefault="00FC305B" w:rsidP="00B13E94">
            <w:pPr>
              <w:pStyle w:val="ListParagraph"/>
              <w:numPr>
                <w:ilvl w:val="0"/>
                <w:numId w:val="37"/>
              </w:numPr>
              <w:rPr>
                <w:rFonts w:ascii="Calibri" w:hAnsi="Calibri"/>
              </w:rPr>
            </w:pPr>
            <w:r>
              <w:rPr>
                <w:rFonts w:ascii="Calibri" w:hAnsi="Calibri"/>
              </w:rPr>
              <w:t>The need for more general LOINC codes, and their inclusion in corresponding value sets</w:t>
            </w:r>
          </w:p>
          <w:p w14:paraId="7BFC7EE6" w14:textId="6DDA81A8" w:rsidR="00FC305B" w:rsidRDefault="00FC305B" w:rsidP="00B13E94">
            <w:pPr>
              <w:pStyle w:val="ListParagraph"/>
              <w:numPr>
                <w:ilvl w:val="0"/>
                <w:numId w:val="37"/>
              </w:numPr>
              <w:rPr>
                <w:rFonts w:ascii="Calibri" w:hAnsi="Calibri"/>
              </w:rPr>
            </w:pPr>
            <w:r>
              <w:rPr>
                <w:rFonts w:ascii="Calibri" w:hAnsi="Calibri"/>
              </w:rPr>
              <w:t>Applicability (or not) to diagnostic studies (e.g., VTE)</w:t>
            </w:r>
          </w:p>
          <w:p w14:paraId="3C04F921" w14:textId="110C367C" w:rsidR="006F7AB4" w:rsidRDefault="006F7AB4" w:rsidP="00B13E94">
            <w:pPr>
              <w:pStyle w:val="ListParagraph"/>
              <w:numPr>
                <w:ilvl w:val="0"/>
                <w:numId w:val="37"/>
              </w:numPr>
              <w:rPr>
                <w:rFonts w:ascii="Calibri" w:hAnsi="Calibri"/>
              </w:rPr>
            </w:pPr>
            <w:r>
              <w:rPr>
                <w:rFonts w:ascii="Calibri" w:hAnsi="Calibri"/>
              </w:rPr>
              <w:t>Capturing whether or not a clinician “has seen” the results is a separate issue</w:t>
            </w:r>
          </w:p>
          <w:p w14:paraId="157ABB15" w14:textId="0C6BACD3" w:rsidR="00B13E94" w:rsidRDefault="00FC305B" w:rsidP="00B13E94">
            <w:pPr>
              <w:pStyle w:val="ListParagraph"/>
              <w:numPr>
                <w:ilvl w:val="0"/>
                <w:numId w:val="37"/>
              </w:numPr>
              <w:rPr>
                <w:rFonts w:ascii="Calibri" w:hAnsi="Calibri"/>
              </w:rPr>
            </w:pPr>
            <w:r>
              <w:rPr>
                <w:rFonts w:ascii="Calibri" w:hAnsi="Calibri"/>
              </w:rPr>
              <w:t>Distinguishing between external and internal records</w:t>
            </w:r>
            <w:r w:rsidR="00674C59">
              <w:rPr>
                <w:rFonts w:ascii="Calibri" w:hAnsi="Calibri"/>
              </w:rPr>
              <w:t xml:space="preserve"> </w:t>
            </w:r>
            <w:r>
              <w:rPr>
                <w:rFonts w:ascii="Calibri" w:hAnsi="Calibri"/>
              </w:rPr>
              <w:t>(and relation to data provenance)</w:t>
            </w:r>
          </w:p>
          <w:p w14:paraId="350CB563" w14:textId="70523570" w:rsidR="00FE0978" w:rsidRPr="000B5A42" w:rsidRDefault="00FC305B" w:rsidP="00C9431A">
            <w:pPr>
              <w:rPr>
                <w:rFonts w:ascii="Calibri" w:hAnsi="Calibri"/>
              </w:rPr>
            </w:pPr>
            <w:r>
              <w:rPr>
                <w:rFonts w:ascii="Calibri" w:hAnsi="Calibri"/>
              </w:rPr>
              <w:t>The User Group accepted the proposed approach by consensus, with the agreement that a separate Jira issue would be created to discuss distinguishing between external and internal events.</w:t>
            </w:r>
          </w:p>
        </w:tc>
        <w:tc>
          <w:tcPr>
            <w:tcW w:w="0" w:type="auto"/>
          </w:tcPr>
          <w:p w14:paraId="43976BC9" w14:textId="77777777" w:rsidR="00220E79" w:rsidRPr="00DF7E73" w:rsidRDefault="00220E79" w:rsidP="007A34A2">
            <w:pPr>
              <w:ind w:left="0"/>
              <w:rPr>
                <w:rFonts w:ascii="Calibri" w:hAnsi="Calibri"/>
              </w:rPr>
            </w:pPr>
          </w:p>
        </w:tc>
      </w:tr>
      <w:tr w:rsidR="00220E79" w:rsidRPr="00DF7E73" w14:paraId="6111BE74" w14:textId="77777777" w:rsidTr="00212750">
        <w:tc>
          <w:tcPr>
            <w:tcW w:w="0" w:type="auto"/>
            <w:vMerge/>
          </w:tcPr>
          <w:p w14:paraId="09487DF2" w14:textId="209D3511" w:rsidR="00220E79" w:rsidRPr="00DF7E73" w:rsidRDefault="00220E79" w:rsidP="004E639D">
            <w:pPr>
              <w:ind w:left="0"/>
              <w:rPr>
                <w:rFonts w:ascii="Calibri" w:hAnsi="Calibri"/>
              </w:rPr>
            </w:pPr>
          </w:p>
        </w:tc>
        <w:tc>
          <w:tcPr>
            <w:tcW w:w="0" w:type="auto"/>
          </w:tcPr>
          <w:p w14:paraId="3D14620A" w14:textId="212D3A0D" w:rsidR="00220E79" w:rsidRPr="00DF7E73" w:rsidRDefault="00674C59" w:rsidP="00F44EB1">
            <w:pPr>
              <w:ind w:left="0"/>
              <w:rPr>
                <w:rFonts w:ascii="Calibri" w:hAnsi="Calibri"/>
              </w:rPr>
            </w:pPr>
            <w:r>
              <w:rPr>
                <w:rFonts w:ascii="Calibri" w:hAnsi="Calibri"/>
              </w:rPr>
              <w:t>1:4</w:t>
            </w:r>
            <w:r w:rsidR="008C1373">
              <w:rPr>
                <w:rFonts w:ascii="Calibri" w:hAnsi="Calibri"/>
              </w:rPr>
              <w:t>5</w:t>
            </w:r>
            <w:r w:rsidR="00937C0E">
              <w:rPr>
                <w:rFonts w:ascii="Calibri" w:hAnsi="Calibri"/>
              </w:rPr>
              <w:t xml:space="preserve"> Chris</w:t>
            </w:r>
          </w:p>
        </w:tc>
        <w:tc>
          <w:tcPr>
            <w:tcW w:w="3183" w:type="dxa"/>
          </w:tcPr>
          <w:p w14:paraId="5201EB27" w14:textId="159EF06D" w:rsidR="00220E79" w:rsidRPr="009740C4" w:rsidRDefault="00F5077A" w:rsidP="008362D5">
            <w:pPr>
              <w:ind w:left="0"/>
              <w:rPr>
                <w:rFonts w:ascii="Calibri" w:hAnsi="Calibri"/>
              </w:rPr>
            </w:pPr>
            <w:hyperlink r:id="rId18" w:history="1">
              <w:r w:rsidR="00220E79">
                <w:rPr>
                  <w:rStyle w:val="Hyperlink"/>
                  <w:rFonts w:ascii="Calibri" w:hAnsi="Calibri" w:cstheme="minorBidi"/>
                </w:rPr>
                <w:t>QDM-55</w:t>
              </w:r>
            </w:hyperlink>
            <w:r w:rsidR="00220E79">
              <w:rPr>
                <w:rFonts w:ascii="Calibri" w:hAnsi="Calibri"/>
              </w:rPr>
              <w:t xml:space="preserve">: </w:t>
            </w:r>
            <w:r w:rsidR="00220E79" w:rsidRPr="00F44EB1">
              <w:rPr>
                <w:rFonts w:ascii="Calibri" w:hAnsi="Calibri" w:cs="Arial"/>
                <w:color w:val="262626"/>
              </w:rPr>
              <w:t xml:space="preserve">Representing </w:t>
            </w:r>
            <w:r w:rsidR="00220E79">
              <w:rPr>
                <w:rFonts w:ascii="Calibri" w:hAnsi="Calibri" w:cs="Arial"/>
                <w:color w:val="262626"/>
              </w:rPr>
              <w:t>p</w:t>
            </w:r>
            <w:r w:rsidR="00220E79" w:rsidRPr="00F44EB1">
              <w:rPr>
                <w:rFonts w:ascii="Calibri" w:hAnsi="Calibri" w:cs="Arial"/>
                <w:color w:val="262626"/>
              </w:rPr>
              <w:t>atient location at the time of death</w:t>
            </w:r>
            <w:r w:rsidR="00220E79">
              <w:rPr>
                <w:rFonts w:ascii="Calibri" w:hAnsi="Calibri" w:cs="Arial"/>
                <w:color w:val="262626"/>
              </w:rPr>
              <w:t xml:space="preserve"> </w:t>
            </w:r>
          </w:p>
        </w:tc>
        <w:tc>
          <w:tcPr>
            <w:tcW w:w="7231" w:type="dxa"/>
          </w:tcPr>
          <w:p w14:paraId="5A308323" w14:textId="4DFE3A55" w:rsidR="00220E79" w:rsidRDefault="006645B5" w:rsidP="00AF62F6">
            <w:pPr>
              <w:ind w:left="0"/>
              <w:rPr>
                <w:rFonts w:ascii="Calibri" w:hAnsi="Calibri"/>
              </w:rPr>
            </w:pPr>
            <w:r>
              <w:rPr>
                <w:rFonts w:ascii="Calibri" w:hAnsi="Calibri"/>
              </w:rPr>
              <w:t>A proposal</w:t>
            </w:r>
            <w:r w:rsidR="00AF62F6">
              <w:rPr>
                <w:rFonts w:ascii="Calibri" w:hAnsi="Calibri"/>
              </w:rPr>
              <w:t xml:space="preserve"> was presented</w:t>
            </w:r>
            <w:r>
              <w:rPr>
                <w:rFonts w:ascii="Calibri" w:hAnsi="Calibri"/>
              </w:rPr>
              <w:t xml:space="preserve"> to capture a patient’s location at expiration by </w:t>
            </w:r>
            <w:r w:rsidR="00AF62F6">
              <w:rPr>
                <w:rFonts w:ascii="Calibri" w:hAnsi="Calibri"/>
              </w:rPr>
              <w:t xml:space="preserve">adding the attribute </w:t>
            </w:r>
            <w:r w:rsidR="00FC305B">
              <w:rPr>
                <w:rFonts w:ascii="Calibri" w:hAnsi="Calibri"/>
              </w:rPr>
              <w:t>“l</w:t>
            </w:r>
            <w:r w:rsidR="00AF62F6">
              <w:rPr>
                <w:rFonts w:ascii="Calibri" w:hAnsi="Calibri"/>
              </w:rPr>
              <w:t>ocati</w:t>
            </w:r>
            <w:r w:rsidR="00C9431A">
              <w:rPr>
                <w:rFonts w:ascii="Calibri" w:hAnsi="Calibri"/>
              </w:rPr>
              <w:t>on</w:t>
            </w:r>
            <w:r w:rsidR="00FC305B">
              <w:rPr>
                <w:rFonts w:ascii="Calibri" w:hAnsi="Calibri"/>
              </w:rPr>
              <w:t>”</w:t>
            </w:r>
            <w:r w:rsidR="00C9431A">
              <w:rPr>
                <w:rFonts w:ascii="Calibri" w:hAnsi="Calibri"/>
              </w:rPr>
              <w:t xml:space="preserve"> to the data</w:t>
            </w:r>
            <w:r w:rsidR="00AF62F6">
              <w:rPr>
                <w:rFonts w:ascii="Calibri" w:hAnsi="Calibri"/>
              </w:rPr>
              <w:t>type Patient Characteristic Expired. It was mentioned that the effects on HQMF and QRDA would require exploration.</w:t>
            </w:r>
          </w:p>
          <w:p w14:paraId="66BCA678" w14:textId="77777777" w:rsidR="00AF62F6" w:rsidRDefault="00AF62F6" w:rsidP="00AF62F6">
            <w:pPr>
              <w:ind w:left="0"/>
              <w:rPr>
                <w:rFonts w:ascii="Calibri" w:hAnsi="Calibri"/>
              </w:rPr>
            </w:pPr>
            <w:r>
              <w:rPr>
                <w:rFonts w:ascii="Calibri" w:hAnsi="Calibri"/>
              </w:rPr>
              <w:t xml:space="preserve">The User Group raised the following discussion topics: </w:t>
            </w:r>
          </w:p>
          <w:p w14:paraId="6E4B47C5" w14:textId="094D3E40" w:rsidR="00AF62F6" w:rsidRDefault="00AF62F6" w:rsidP="00AF62F6">
            <w:pPr>
              <w:pStyle w:val="ListParagraph"/>
              <w:numPr>
                <w:ilvl w:val="0"/>
                <w:numId w:val="37"/>
              </w:numPr>
              <w:rPr>
                <w:rFonts w:ascii="Calibri" w:hAnsi="Calibri"/>
              </w:rPr>
            </w:pPr>
            <w:r>
              <w:rPr>
                <w:rFonts w:ascii="Calibri" w:hAnsi="Calibri"/>
              </w:rPr>
              <w:lastRenderedPageBreak/>
              <w:t>The requirement for measurement must be better understood (e.g., does the measure need to capture level of care or location?)</w:t>
            </w:r>
          </w:p>
          <w:p w14:paraId="387E850A" w14:textId="5C0C2A03" w:rsidR="00FC305B" w:rsidRDefault="00FC305B" w:rsidP="00AF62F6">
            <w:pPr>
              <w:pStyle w:val="ListParagraph"/>
              <w:numPr>
                <w:ilvl w:val="0"/>
                <w:numId w:val="37"/>
              </w:numPr>
              <w:rPr>
                <w:rFonts w:ascii="Calibri" w:hAnsi="Calibri"/>
              </w:rPr>
            </w:pPr>
            <w:r>
              <w:rPr>
                <w:rFonts w:ascii="Calibri" w:hAnsi="Calibri"/>
              </w:rPr>
              <w:t>Mapping locations to codes in an EHR is a heavy burden for institutions and requires constant maintenance</w:t>
            </w:r>
          </w:p>
          <w:p w14:paraId="590D4C46" w14:textId="6F850736" w:rsidR="00AF62F6" w:rsidRDefault="00FC305B" w:rsidP="00AF62F6">
            <w:pPr>
              <w:pStyle w:val="ListParagraph"/>
              <w:numPr>
                <w:ilvl w:val="0"/>
                <w:numId w:val="37"/>
              </w:numPr>
              <w:rPr>
                <w:rFonts w:ascii="Calibri" w:hAnsi="Calibri"/>
              </w:rPr>
            </w:pPr>
            <w:r>
              <w:rPr>
                <w:rFonts w:ascii="Calibri" w:hAnsi="Calibri"/>
              </w:rPr>
              <w:t>Would a</w:t>
            </w:r>
            <w:r w:rsidR="00AF62F6">
              <w:rPr>
                <w:rFonts w:ascii="Calibri" w:hAnsi="Calibri"/>
              </w:rPr>
              <w:t xml:space="preserve"> defined list of</w:t>
            </w:r>
            <w:r>
              <w:rPr>
                <w:rFonts w:ascii="Calibri" w:hAnsi="Calibri"/>
              </w:rPr>
              <w:t xml:space="preserve"> allowable</w:t>
            </w:r>
            <w:r w:rsidR="00AF62F6">
              <w:rPr>
                <w:rFonts w:ascii="Calibri" w:hAnsi="Calibri"/>
              </w:rPr>
              <w:t xml:space="preserve"> locations (e.g., home health, in transit, inpatient floor) </w:t>
            </w:r>
            <w:r>
              <w:rPr>
                <w:rFonts w:ascii="Calibri" w:hAnsi="Calibri"/>
              </w:rPr>
              <w:t>alleviate concerns?</w:t>
            </w:r>
          </w:p>
          <w:p w14:paraId="2EA728FC" w14:textId="5E8E0E28" w:rsidR="007C408D" w:rsidRPr="00FE0978" w:rsidRDefault="00FC305B" w:rsidP="00B12841">
            <w:pPr>
              <w:ind w:left="0"/>
              <w:rPr>
                <w:rFonts w:ascii="Calibri" w:hAnsi="Calibri"/>
              </w:rPr>
            </w:pPr>
            <w:r>
              <w:rPr>
                <w:rFonts w:ascii="Calibri" w:hAnsi="Calibri"/>
              </w:rPr>
              <w:t>T</w:t>
            </w:r>
            <w:r w:rsidR="00AF62F6">
              <w:rPr>
                <w:rFonts w:ascii="Calibri" w:hAnsi="Calibri"/>
              </w:rPr>
              <w:t xml:space="preserve">he QDM Management Team will evaluate how EHRs currently capture location and level of care, and will </w:t>
            </w:r>
            <w:r>
              <w:rPr>
                <w:rFonts w:ascii="Calibri" w:hAnsi="Calibri"/>
              </w:rPr>
              <w:t xml:space="preserve">seek to </w:t>
            </w:r>
            <w:r w:rsidR="00AF62F6">
              <w:rPr>
                <w:rFonts w:ascii="Calibri" w:hAnsi="Calibri"/>
              </w:rPr>
              <w:t xml:space="preserve">clarify the measurement requirements. </w:t>
            </w:r>
          </w:p>
        </w:tc>
        <w:tc>
          <w:tcPr>
            <w:tcW w:w="0" w:type="auto"/>
          </w:tcPr>
          <w:p w14:paraId="5DDC2203" w14:textId="77777777" w:rsidR="00220E79" w:rsidRPr="00DF7E73" w:rsidRDefault="00220E79" w:rsidP="00277631">
            <w:pPr>
              <w:ind w:left="0"/>
              <w:rPr>
                <w:rFonts w:ascii="Calibri" w:hAnsi="Calibri"/>
              </w:rPr>
            </w:pPr>
          </w:p>
        </w:tc>
      </w:tr>
      <w:tr w:rsidR="00220E79" w:rsidRPr="00DF7E73" w14:paraId="56E607C8" w14:textId="77777777" w:rsidTr="00212750">
        <w:tc>
          <w:tcPr>
            <w:tcW w:w="0" w:type="auto"/>
            <w:vMerge/>
          </w:tcPr>
          <w:p w14:paraId="4E96780E" w14:textId="5B46A8D2" w:rsidR="00220E79" w:rsidRPr="00DF7E73" w:rsidRDefault="00220E79" w:rsidP="004E639D">
            <w:pPr>
              <w:ind w:left="0"/>
              <w:rPr>
                <w:rFonts w:ascii="Calibri" w:hAnsi="Calibri"/>
              </w:rPr>
            </w:pPr>
          </w:p>
        </w:tc>
        <w:tc>
          <w:tcPr>
            <w:tcW w:w="0" w:type="auto"/>
          </w:tcPr>
          <w:p w14:paraId="7D889364" w14:textId="2C23EB8E" w:rsidR="00220E79" w:rsidRDefault="00220E79" w:rsidP="00F44EB1">
            <w:pPr>
              <w:ind w:left="0"/>
              <w:rPr>
                <w:rFonts w:ascii="Calibri" w:hAnsi="Calibri"/>
              </w:rPr>
            </w:pPr>
            <w:r>
              <w:rPr>
                <w:rFonts w:ascii="Calibri" w:hAnsi="Calibri"/>
              </w:rPr>
              <w:t>2:</w:t>
            </w:r>
            <w:r w:rsidR="00AF62F6">
              <w:rPr>
                <w:rFonts w:ascii="Calibri" w:hAnsi="Calibri"/>
              </w:rPr>
              <w:t>2</w:t>
            </w:r>
            <w:r w:rsidR="008C1373">
              <w:rPr>
                <w:rFonts w:ascii="Calibri" w:hAnsi="Calibri"/>
              </w:rPr>
              <w:t>0</w:t>
            </w:r>
            <w:r w:rsidR="00937C0E">
              <w:rPr>
                <w:rFonts w:ascii="Calibri" w:hAnsi="Calibri"/>
              </w:rPr>
              <w:t xml:space="preserve"> Chris</w:t>
            </w:r>
          </w:p>
        </w:tc>
        <w:tc>
          <w:tcPr>
            <w:tcW w:w="3183" w:type="dxa"/>
          </w:tcPr>
          <w:p w14:paraId="7B8B6028" w14:textId="2465DCB9" w:rsidR="00220E79" w:rsidRPr="009740C4" w:rsidRDefault="00F5077A" w:rsidP="00200302">
            <w:pPr>
              <w:ind w:left="0"/>
              <w:rPr>
                <w:rFonts w:ascii="Calibri" w:hAnsi="Calibri"/>
              </w:rPr>
            </w:pPr>
            <w:hyperlink r:id="rId19" w:history="1">
              <w:r w:rsidR="00220E79">
                <w:rPr>
                  <w:rStyle w:val="Hyperlink"/>
                  <w:rFonts w:ascii="Calibri" w:hAnsi="Calibri" w:cstheme="minorBidi"/>
                </w:rPr>
                <w:t>QDM-70</w:t>
              </w:r>
            </w:hyperlink>
            <w:r w:rsidR="00220E79">
              <w:rPr>
                <w:rFonts w:ascii="Calibri" w:hAnsi="Calibri"/>
              </w:rPr>
              <w:t>: Support for Operators Not Expressible in HQMF R2.1</w:t>
            </w:r>
          </w:p>
        </w:tc>
        <w:tc>
          <w:tcPr>
            <w:tcW w:w="7231" w:type="dxa"/>
          </w:tcPr>
          <w:p w14:paraId="1BD9A17C" w14:textId="0AC1FD36" w:rsidR="00862FD6" w:rsidRDefault="00FC305B" w:rsidP="002D2F0A">
            <w:pPr>
              <w:ind w:left="0"/>
              <w:rPr>
                <w:rFonts w:ascii="Calibri" w:hAnsi="Calibri"/>
              </w:rPr>
            </w:pPr>
            <w:r>
              <w:rPr>
                <w:rFonts w:ascii="Calibri" w:hAnsi="Calibri"/>
              </w:rPr>
              <w:t xml:space="preserve">Some </w:t>
            </w:r>
            <w:r w:rsidR="00862FD6">
              <w:rPr>
                <w:rFonts w:ascii="Calibri" w:hAnsi="Calibri"/>
              </w:rPr>
              <w:t xml:space="preserve">concepts expressible in HQMF R1 are not expressible in HQMF R2.1: </w:t>
            </w:r>
          </w:p>
          <w:p w14:paraId="206431AE" w14:textId="3346BE08" w:rsidR="00862FD6" w:rsidRDefault="00FC305B" w:rsidP="00862FD6">
            <w:pPr>
              <w:pStyle w:val="ListParagraph"/>
              <w:numPr>
                <w:ilvl w:val="0"/>
                <w:numId w:val="38"/>
              </w:numPr>
              <w:rPr>
                <w:rFonts w:ascii="Calibri" w:hAnsi="Calibri"/>
              </w:rPr>
            </w:pPr>
            <w:r>
              <w:rPr>
                <w:rFonts w:ascii="Calibri" w:hAnsi="Calibri"/>
              </w:rPr>
              <w:t xml:space="preserve">Defining measure populations using </w:t>
            </w:r>
            <w:r w:rsidR="00862FD6">
              <w:rPr>
                <w:rFonts w:ascii="Calibri" w:hAnsi="Calibri"/>
              </w:rPr>
              <w:t>Median and Average</w:t>
            </w:r>
          </w:p>
          <w:p w14:paraId="16FA8FBE" w14:textId="3FACCB4C" w:rsidR="00862FD6" w:rsidRDefault="00FC305B" w:rsidP="00862FD6">
            <w:pPr>
              <w:pStyle w:val="ListParagraph"/>
              <w:numPr>
                <w:ilvl w:val="0"/>
                <w:numId w:val="38"/>
              </w:numPr>
              <w:rPr>
                <w:rFonts w:ascii="Calibri" w:hAnsi="Calibri"/>
              </w:rPr>
            </w:pPr>
            <w:r>
              <w:rPr>
                <w:rFonts w:ascii="Calibri" w:hAnsi="Calibri"/>
              </w:rPr>
              <w:t xml:space="preserve">Defining measure populations and measure observations using </w:t>
            </w:r>
            <w:r w:rsidR="00862FD6">
              <w:rPr>
                <w:rFonts w:ascii="Calibri" w:hAnsi="Calibri"/>
              </w:rPr>
              <w:t>DateDiff and TimeDiff</w:t>
            </w:r>
          </w:p>
          <w:p w14:paraId="4F0C6A99" w14:textId="0FA62B20" w:rsidR="00862FD6" w:rsidRDefault="00862FD6" w:rsidP="00CD5F09">
            <w:pPr>
              <w:ind w:left="0"/>
              <w:rPr>
                <w:rFonts w:ascii="Calibri" w:hAnsi="Calibri"/>
              </w:rPr>
            </w:pPr>
            <w:r>
              <w:rPr>
                <w:rFonts w:ascii="Calibri" w:hAnsi="Calibri"/>
              </w:rPr>
              <w:t xml:space="preserve">Median and Average: </w:t>
            </w:r>
            <w:r w:rsidR="00FF11D7">
              <w:rPr>
                <w:rFonts w:ascii="Calibri" w:hAnsi="Calibri"/>
              </w:rPr>
              <w:t>A</w:t>
            </w:r>
            <w:r>
              <w:rPr>
                <w:rFonts w:ascii="Calibri" w:hAnsi="Calibri"/>
              </w:rPr>
              <w:t xml:space="preserve"> QDM extension </w:t>
            </w:r>
            <w:r w:rsidR="00FF11D7">
              <w:rPr>
                <w:rFonts w:ascii="Calibri" w:hAnsi="Calibri"/>
              </w:rPr>
              <w:t xml:space="preserve">to </w:t>
            </w:r>
            <w:r>
              <w:rPr>
                <w:rFonts w:ascii="Calibri" w:hAnsi="Calibri"/>
              </w:rPr>
              <w:t xml:space="preserve">HQMF </w:t>
            </w:r>
            <w:r w:rsidR="00FF11D7">
              <w:rPr>
                <w:rFonts w:ascii="Calibri" w:hAnsi="Calibri"/>
              </w:rPr>
              <w:t xml:space="preserve">will </w:t>
            </w:r>
            <w:r>
              <w:rPr>
                <w:rFonts w:ascii="Calibri" w:hAnsi="Calibri"/>
              </w:rPr>
              <w:t>allow Median and Average to be supported</w:t>
            </w:r>
            <w:r w:rsidR="00FF11D7">
              <w:rPr>
                <w:rFonts w:ascii="Calibri" w:hAnsi="Calibri"/>
              </w:rPr>
              <w:t xml:space="preserve"> in measure populations</w:t>
            </w:r>
            <w:r>
              <w:rPr>
                <w:rFonts w:ascii="Calibri" w:hAnsi="Calibri"/>
              </w:rPr>
              <w:t xml:space="preserve">. </w:t>
            </w:r>
            <w:r w:rsidR="00FF11D7">
              <w:rPr>
                <w:rFonts w:ascii="Calibri" w:hAnsi="Calibri"/>
              </w:rPr>
              <w:t>QDM will continue to support these features as before</w:t>
            </w:r>
            <w:r>
              <w:rPr>
                <w:rFonts w:ascii="Calibri" w:hAnsi="Calibri"/>
              </w:rPr>
              <w:t>.</w:t>
            </w:r>
          </w:p>
          <w:p w14:paraId="7E699747" w14:textId="74D114A8" w:rsidR="00862FD6" w:rsidRDefault="00862FD6" w:rsidP="00CD5F09">
            <w:pPr>
              <w:ind w:left="0"/>
              <w:rPr>
                <w:rFonts w:ascii="Calibri" w:hAnsi="Calibri"/>
              </w:rPr>
            </w:pPr>
            <w:r>
              <w:rPr>
                <w:rFonts w:ascii="Calibri" w:hAnsi="Calibri"/>
              </w:rPr>
              <w:t xml:space="preserve">DateDiff and TimeDiff: </w:t>
            </w:r>
            <w:r w:rsidR="00FF11D7">
              <w:rPr>
                <w:rFonts w:ascii="Calibri" w:hAnsi="Calibri"/>
              </w:rPr>
              <w:t>An alternate HQMF representation will be used for DateDiff and TimeDiff in measure observations, allowing QDM to continue supporting these features in measure observations.  No suitable representation can be found for DateDiff and TimeDiff in measure populations; affected measures (CMS 72 and CMS 73) will need to be rewritten.  QDM believes that the original intent can be maintained without the use of DateDiff or TimeDiff.</w:t>
            </w:r>
          </w:p>
          <w:p w14:paraId="2CF4D00D" w14:textId="0271F6EF" w:rsidR="00D377CE" w:rsidRPr="001401AE" w:rsidRDefault="00862FD6" w:rsidP="00CD5F09">
            <w:pPr>
              <w:ind w:left="0"/>
              <w:rPr>
                <w:rFonts w:ascii="Calibri" w:hAnsi="Calibri"/>
              </w:rPr>
            </w:pPr>
            <w:r>
              <w:rPr>
                <w:rFonts w:ascii="Calibri" w:hAnsi="Calibri"/>
              </w:rPr>
              <w:t xml:space="preserve">Following User Group discussion, the QDM Management Team will share the proposed revised logic with the applicable measure developers for vetting. </w:t>
            </w:r>
          </w:p>
        </w:tc>
        <w:tc>
          <w:tcPr>
            <w:tcW w:w="0" w:type="auto"/>
          </w:tcPr>
          <w:p w14:paraId="46DE3D64" w14:textId="77777777" w:rsidR="00220E79" w:rsidRPr="00DF7E73" w:rsidRDefault="00220E79" w:rsidP="00277631">
            <w:pPr>
              <w:ind w:left="0"/>
              <w:rPr>
                <w:rFonts w:ascii="Calibri" w:hAnsi="Calibri"/>
              </w:rPr>
            </w:pPr>
          </w:p>
        </w:tc>
      </w:tr>
      <w:tr w:rsidR="00220E79" w:rsidRPr="00DF7E73" w14:paraId="4D6A14E7" w14:textId="77777777" w:rsidTr="00212750">
        <w:tc>
          <w:tcPr>
            <w:tcW w:w="0" w:type="auto"/>
            <w:vMerge/>
          </w:tcPr>
          <w:p w14:paraId="63F0D1DE" w14:textId="694104FF" w:rsidR="00220E79" w:rsidRPr="00DF7E73" w:rsidRDefault="00220E79" w:rsidP="004E639D">
            <w:pPr>
              <w:ind w:left="0"/>
              <w:rPr>
                <w:rFonts w:ascii="Calibri" w:hAnsi="Calibri"/>
              </w:rPr>
            </w:pPr>
          </w:p>
        </w:tc>
        <w:tc>
          <w:tcPr>
            <w:tcW w:w="0" w:type="auto"/>
          </w:tcPr>
          <w:p w14:paraId="28B02D6F" w14:textId="41015E67" w:rsidR="00220E79" w:rsidRDefault="00862FD6" w:rsidP="00F44EB1">
            <w:pPr>
              <w:ind w:left="0"/>
              <w:rPr>
                <w:rFonts w:ascii="Calibri" w:hAnsi="Calibri"/>
              </w:rPr>
            </w:pPr>
            <w:r>
              <w:rPr>
                <w:rFonts w:ascii="Calibri" w:hAnsi="Calibri"/>
              </w:rPr>
              <w:t>2:3</w:t>
            </w:r>
            <w:r w:rsidR="008C1373">
              <w:rPr>
                <w:rFonts w:ascii="Calibri" w:hAnsi="Calibri"/>
              </w:rPr>
              <w:t>5</w:t>
            </w:r>
            <w:r w:rsidR="00937C0E">
              <w:rPr>
                <w:rFonts w:ascii="Calibri" w:hAnsi="Calibri"/>
              </w:rPr>
              <w:t xml:space="preserve"> Chris</w:t>
            </w:r>
          </w:p>
        </w:tc>
        <w:tc>
          <w:tcPr>
            <w:tcW w:w="3183" w:type="dxa"/>
          </w:tcPr>
          <w:p w14:paraId="09CBB180" w14:textId="299F31C9" w:rsidR="00220E79" w:rsidRPr="009740C4" w:rsidRDefault="00F5077A" w:rsidP="00220E79">
            <w:pPr>
              <w:ind w:left="0"/>
              <w:rPr>
                <w:rFonts w:ascii="Calibri" w:hAnsi="Calibri"/>
              </w:rPr>
            </w:pPr>
            <w:hyperlink r:id="rId20" w:history="1">
              <w:r w:rsidR="00220E79">
                <w:rPr>
                  <w:rStyle w:val="Hyperlink"/>
                  <w:rFonts w:ascii="Calibri" w:hAnsi="Calibri" w:cs="Tahoma"/>
                </w:rPr>
                <w:t>QDM-69</w:t>
              </w:r>
            </w:hyperlink>
            <w:r w:rsidR="00220E79" w:rsidRPr="009740C4">
              <w:rPr>
                <w:rFonts w:ascii="Calibri" w:hAnsi="Calibri" w:cs="Tahoma"/>
              </w:rPr>
              <w:t xml:space="preserve">: </w:t>
            </w:r>
            <w:r w:rsidR="00220E79">
              <w:rPr>
                <w:rFonts w:ascii="Calibri" w:hAnsi="Calibri" w:cs="Arial"/>
                <w:color w:val="262626"/>
              </w:rPr>
              <w:t>Relationship operators supported in MAT for applicability</w:t>
            </w:r>
          </w:p>
        </w:tc>
        <w:tc>
          <w:tcPr>
            <w:tcW w:w="7231" w:type="dxa"/>
          </w:tcPr>
          <w:p w14:paraId="2A747342" w14:textId="0266FCDE" w:rsidR="00220E79" w:rsidRDefault="00CD5F09" w:rsidP="00CD5F09">
            <w:pPr>
              <w:ind w:left="0"/>
              <w:rPr>
                <w:rFonts w:ascii="Calibri" w:hAnsi="Calibri"/>
              </w:rPr>
            </w:pPr>
            <w:r>
              <w:rPr>
                <w:rFonts w:ascii="Calibri" w:hAnsi="Calibri"/>
              </w:rPr>
              <w:t xml:space="preserve">Five general relationship operators are not defined in the QDM and not used by any MU Stage 2 measures: </w:t>
            </w:r>
            <w:r w:rsidR="00FF11D7">
              <w:rPr>
                <w:rFonts w:ascii="Calibri" w:hAnsi="Calibri"/>
              </w:rPr>
              <w:t>a</w:t>
            </w:r>
            <w:r>
              <w:rPr>
                <w:rFonts w:ascii="Calibri" w:hAnsi="Calibri"/>
              </w:rPr>
              <w:t>uthorized</w:t>
            </w:r>
            <w:r w:rsidR="00FF11D7">
              <w:rPr>
                <w:rFonts w:ascii="Calibri" w:hAnsi="Calibri"/>
              </w:rPr>
              <w:t xml:space="preserve"> by</w:t>
            </w:r>
            <w:r>
              <w:rPr>
                <w:rFonts w:ascii="Calibri" w:hAnsi="Calibri"/>
              </w:rPr>
              <w:t xml:space="preserve">, </w:t>
            </w:r>
            <w:r w:rsidR="00FF11D7">
              <w:rPr>
                <w:rFonts w:ascii="Calibri" w:hAnsi="Calibri"/>
              </w:rPr>
              <w:t>c</w:t>
            </w:r>
            <w:r>
              <w:rPr>
                <w:rFonts w:ascii="Calibri" w:hAnsi="Calibri"/>
              </w:rPr>
              <w:t>auses, Is derived</w:t>
            </w:r>
            <w:r w:rsidR="00EF2544">
              <w:rPr>
                <w:rFonts w:ascii="Calibri" w:hAnsi="Calibri"/>
              </w:rPr>
              <w:t xml:space="preserve"> from, </w:t>
            </w:r>
            <w:r w:rsidR="00FF11D7">
              <w:rPr>
                <w:rFonts w:ascii="Calibri" w:hAnsi="Calibri"/>
              </w:rPr>
              <w:t>h</w:t>
            </w:r>
            <w:r w:rsidR="00EF2544">
              <w:rPr>
                <w:rFonts w:ascii="Calibri" w:hAnsi="Calibri"/>
              </w:rPr>
              <w:t xml:space="preserve">as goal, </w:t>
            </w:r>
            <w:r w:rsidR="00FF11D7">
              <w:rPr>
                <w:rFonts w:ascii="Calibri" w:hAnsi="Calibri"/>
              </w:rPr>
              <w:t>h</w:t>
            </w:r>
            <w:r>
              <w:rPr>
                <w:rFonts w:ascii="Calibri" w:hAnsi="Calibri"/>
              </w:rPr>
              <w:t xml:space="preserve">as outcome. </w:t>
            </w:r>
          </w:p>
          <w:p w14:paraId="66653B7D" w14:textId="43FF8553" w:rsidR="00CD5F09" w:rsidRPr="00DF7E73" w:rsidRDefault="00CD5F09" w:rsidP="00FF11D7">
            <w:pPr>
              <w:ind w:left="0"/>
              <w:rPr>
                <w:rFonts w:ascii="Calibri" w:hAnsi="Calibri"/>
              </w:rPr>
            </w:pPr>
            <w:r>
              <w:rPr>
                <w:rFonts w:ascii="Calibri" w:hAnsi="Calibri"/>
              </w:rPr>
              <w:t xml:space="preserve">The User Group discussed </w:t>
            </w:r>
            <w:r w:rsidR="00FF11D7">
              <w:rPr>
                <w:rFonts w:ascii="Calibri" w:hAnsi="Calibri"/>
              </w:rPr>
              <w:t xml:space="preserve">“authorized by” </w:t>
            </w:r>
            <w:r>
              <w:rPr>
                <w:rFonts w:ascii="Calibri" w:hAnsi="Calibri"/>
              </w:rPr>
              <w:t xml:space="preserve">and determined a follow-up conversation would be required. This and the remaining </w:t>
            </w:r>
            <w:r w:rsidR="008422EE">
              <w:rPr>
                <w:rFonts w:ascii="Calibri" w:hAnsi="Calibri"/>
              </w:rPr>
              <w:t xml:space="preserve">four operators will continue to be discussed. </w:t>
            </w:r>
          </w:p>
        </w:tc>
        <w:tc>
          <w:tcPr>
            <w:tcW w:w="0" w:type="auto"/>
          </w:tcPr>
          <w:p w14:paraId="54A808E5" w14:textId="77777777" w:rsidR="00220E79" w:rsidRPr="00DF7E73" w:rsidRDefault="00220E79" w:rsidP="00277631">
            <w:pPr>
              <w:ind w:left="0"/>
              <w:rPr>
                <w:rFonts w:ascii="Calibri" w:hAnsi="Calibri"/>
              </w:rPr>
            </w:pPr>
          </w:p>
        </w:tc>
      </w:tr>
      <w:tr w:rsidR="00200302" w:rsidRPr="00DF7E73" w14:paraId="1EDBE42D" w14:textId="77777777" w:rsidTr="00212750">
        <w:tc>
          <w:tcPr>
            <w:tcW w:w="0" w:type="auto"/>
          </w:tcPr>
          <w:p w14:paraId="6949F766" w14:textId="507662A6" w:rsidR="00200302" w:rsidRDefault="00200302" w:rsidP="007A34A2">
            <w:pPr>
              <w:ind w:left="0"/>
              <w:rPr>
                <w:rFonts w:ascii="Calibri" w:hAnsi="Calibri"/>
              </w:rPr>
            </w:pPr>
            <w:r>
              <w:rPr>
                <w:rFonts w:ascii="Calibri" w:hAnsi="Calibri"/>
              </w:rPr>
              <w:t>Next steps</w:t>
            </w:r>
          </w:p>
        </w:tc>
        <w:tc>
          <w:tcPr>
            <w:tcW w:w="0" w:type="auto"/>
          </w:tcPr>
          <w:p w14:paraId="55A4F831" w14:textId="53E01D57" w:rsidR="00200302" w:rsidRDefault="00862FD6" w:rsidP="00F44EB1">
            <w:pPr>
              <w:ind w:left="0"/>
              <w:rPr>
                <w:rFonts w:ascii="Calibri" w:hAnsi="Calibri"/>
              </w:rPr>
            </w:pPr>
            <w:r>
              <w:rPr>
                <w:rFonts w:ascii="Calibri" w:hAnsi="Calibri"/>
              </w:rPr>
              <w:t>2:55</w:t>
            </w:r>
            <w:r w:rsidR="00200302">
              <w:rPr>
                <w:rFonts w:ascii="Calibri" w:hAnsi="Calibri"/>
              </w:rPr>
              <w:t xml:space="preserve"> </w:t>
            </w:r>
          </w:p>
        </w:tc>
        <w:tc>
          <w:tcPr>
            <w:tcW w:w="3183" w:type="dxa"/>
          </w:tcPr>
          <w:p w14:paraId="34D25E79" w14:textId="3780C65A" w:rsidR="00200302" w:rsidRDefault="00200302" w:rsidP="001F4A68">
            <w:pPr>
              <w:ind w:left="0"/>
              <w:rPr>
                <w:rFonts w:ascii="Calibri" w:hAnsi="Calibri"/>
              </w:rPr>
            </w:pPr>
            <w:r>
              <w:rPr>
                <w:rFonts w:ascii="Calibri" w:hAnsi="Calibri"/>
              </w:rPr>
              <w:t>Conclusion</w:t>
            </w:r>
          </w:p>
        </w:tc>
        <w:tc>
          <w:tcPr>
            <w:tcW w:w="7231" w:type="dxa"/>
          </w:tcPr>
          <w:p w14:paraId="057F064D" w14:textId="77ACAB77" w:rsidR="00200302" w:rsidRPr="00D073D0" w:rsidRDefault="00200302" w:rsidP="00112F50">
            <w:pPr>
              <w:spacing w:before="0" w:after="0"/>
              <w:ind w:left="0"/>
              <w:rPr>
                <w:rFonts w:ascii="Calibri" w:hAnsi="Calibri"/>
              </w:rPr>
            </w:pPr>
          </w:p>
        </w:tc>
        <w:tc>
          <w:tcPr>
            <w:tcW w:w="0" w:type="auto"/>
          </w:tcPr>
          <w:p w14:paraId="7521703E" w14:textId="77777777" w:rsidR="00200302" w:rsidRPr="00DF7E73" w:rsidRDefault="00200302" w:rsidP="007A34A2">
            <w:pPr>
              <w:ind w:left="0"/>
              <w:rPr>
                <w:rFonts w:ascii="Calibri" w:hAnsi="Calibri"/>
              </w:rPr>
            </w:pPr>
          </w:p>
        </w:tc>
      </w:tr>
    </w:tbl>
    <w:p w14:paraId="05CB11C8" w14:textId="2BFD41CC" w:rsidR="0031023F" w:rsidRDefault="0031023F" w:rsidP="002D2F0A">
      <w:pPr>
        <w:spacing w:before="0" w:after="0"/>
        <w:ind w:left="0"/>
      </w:pPr>
    </w:p>
    <w:p w14:paraId="2F623C69" w14:textId="77777777" w:rsidR="00200302" w:rsidRDefault="00200302" w:rsidP="002D2F0A">
      <w:pPr>
        <w:spacing w:before="0" w:after="0"/>
        <w:ind w:left="0"/>
      </w:pPr>
    </w:p>
    <w:tbl>
      <w:tblPr>
        <w:tblStyle w:val="TableGrid"/>
        <w:tblW w:w="14490" w:type="dxa"/>
        <w:tblInd w:w="108" w:type="dxa"/>
        <w:tblLayout w:type="fixed"/>
        <w:tblLook w:val="04A0" w:firstRow="1" w:lastRow="0" w:firstColumn="1" w:lastColumn="0" w:noHBand="0" w:noVBand="1"/>
      </w:tblPr>
      <w:tblGrid>
        <w:gridCol w:w="8460"/>
        <w:gridCol w:w="2160"/>
        <w:gridCol w:w="1980"/>
        <w:gridCol w:w="1890"/>
      </w:tblGrid>
      <w:tr w:rsidR="00443C85" w14:paraId="063C4948" w14:textId="77777777" w:rsidTr="00443C85">
        <w:trPr>
          <w:tblHeader/>
        </w:trPr>
        <w:tc>
          <w:tcPr>
            <w:tcW w:w="8460" w:type="dxa"/>
          </w:tcPr>
          <w:p w14:paraId="31CB9975" w14:textId="1AB506AF" w:rsidR="00443C85" w:rsidRPr="00443C85" w:rsidRDefault="00443C85" w:rsidP="002D2F0A">
            <w:pPr>
              <w:spacing w:before="0" w:after="0"/>
              <w:ind w:left="0"/>
              <w:rPr>
                <w:b/>
              </w:rPr>
            </w:pPr>
            <w:r w:rsidRPr="00443C85">
              <w:rPr>
                <w:rFonts w:ascii="Calibri" w:hAnsi="Calibri"/>
                <w:b/>
                <w:color w:val="14415C" w:themeColor="accent3" w:themeShade="BF"/>
              </w:rPr>
              <w:lastRenderedPageBreak/>
              <w:br w:type="page"/>
            </w:r>
            <w:r w:rsidRPr="00443C85">
              <w:rPr>
                <w:rFonts w:ascii="Calibri" w:hAnsi="Calibri"/>
                <w:b/>
                <w:bCs/>
                <w:color w:val="14415C" w:themeColor="accent3" w:themeShade="BF"/>
              </w:rPr>
              <w:br w:type="page"/>
              <w:t xml:space="preserve"> </w:t>
            </w:r>
            <w:r w:rsidRPr="00443C85">
              <w:rPr>
                <w:rFonts w:ascii="Calibri" w:hAnsi="Calibri"/>
                <w:b/>
                <w:color w:val="14415C" w:themeColor="accent3" w:themeShade="BF"/>
              </w:rPr>
              <w:t>Action Items</w:t>
            </w:r>
          </w:p>
        </w:tc>
        <w:tc>
          <w:tcPr>
            <w:tcW w:w="2160" w:type="dxa"/>
          </w:tcPr>
          <w:p w14:paraId="6ACAEEE0" w14:textId="2DCE2923" w:rsidR="00443C85" w:rsidRPr="00443C85" w:rsidRDefault="00443C85" w:rsidP="002D2F0A">
            <w:pPr>
              <w:spacing w:before="0" w:after="0"/>
              <w:ind w:left="0"/>
              <w:rPr>
                <w:b/>
              </w:rPr>
            </w:pPr>
            <w:r w:rsidRPr="00443C85">
              <w:rPr>
                <w:rFonts w:ascii="Calibri" w:hAnsi="Calibri"/>
                <w:b/>
                <w:color w:val="14415C" w:themeColor="accent3" w:themeShade="BF"/>
              </w:rPr>
              <w:t xml:space="preserve">  Assigned To</w:t>
            </w:r>
          </w:p>
        </w:tc>
        <w:tc>
          <w:tcPr>
            <w:tcW w:w="1980" w:type="dxa"/>
          </w:tcPr>
          <w:p w14:paraId="063AEB42" w14:textId="590CFB14" w:rsidR="00443C85" w:rsidRPr="00443C85" w:rsidRDefault="00443C85" w:rsidP="002D2F0A">
            <w:pPr>
              <w:spacing w:before="0" w:after="0"/>
              <w:ind w:left="0"/>
              <w:rPr>
                <w:b/>
              </w:rPr>
            </w:pPr>
            <w:r w:rsidRPr="00443C85">
              <w:rPr>
                <w:rFonts w:ascii="Calibri" w:hAnsi="Calibri"/>
                <w:b/>
                <w:color w:val="14415C" w:themeColor="accent3" w:themeShade="BF"/>
              </w:rPr>
              <w:t xml:space="preserve"> Due Date</w:t>
            </w:r>
          </w:p>
        </w:tc>
        <w:tc>
          <w:tcPr>
            <w:tcW w:w="1890" w:type="dxa"/>
          </w:tcPr>
          <w:p w14:paraId="1D5FFB66" w14:textId="62092686" w:rsidR="00443C85" w:rsidRPr="00443C85" w:rsidRDefault="00443C85" w:rsidP="002D2F0A">
            <w:pPr>
              <w:spacing w:before="0" w:after="0"/>
              <w:ind w:left="0"/>
              <w:rPr>
                <w:b/>
              </w:rPr>
            </w:pPr>
            <w:r w:rsidRPr="00443C85">
              <w:rPr>
                <w:rFonts w:ascii="Calibri" w:hAnsi="Calibri"/>
                <w:b/>
                <w:color w:val="14415C" w:themeColor="accent3" w:themeShade="BF"/>
              </w:rPr>
              <w:t xml:space="preserve"> Status</w:t>
            </w:r>
          </w:p>
        </w:tc>
      </w:tr>
      <w:tr w:rsidR="00443C85" w14:paraId="5C0C6ED2" w14:textId="77777777" w:rsidTr="00443C85">
        <w:tc>
          <w:tcPr>
            <w:tcW w:w="8460" w:type="dxa"/>
          </w:tcPr>
          <w:p w14:paraId="380DE3C5" w14:textId="3CAA8F3B" w:rsidR="00443C85" w:rsidRPr="00862FD6" w:rsidRDefault="00674C59" w:rsidP="00FF11D7">
            <w:pPr>
              <w:spacing w:before="0" w:after="0"/>
              <w:ind w:left="0"/>
              <w:rPr>
                <w:rFonts w:ascii="Calibri" w:hAnsi="Calibri"/>
              </w:rPr>
            </w:pPr>
            <w:r w:rsidRPr="00862FD6">
              <w:rPr>
                <w:rFonts w:ascii="Calibri" w:hAnsi="Calibri"/>
              </w:rPr>
              <w:t xml:space="preserve">QDM-48: Continue discussion on how to represent a </w:t>
            </w:r>
            <w:r w:rsidR="00FF11D7">
              <w:rPr>
                <w:rFonts w:ascii="Calibri" w:hAnsi="Calibri"/>
              </w:rPr>
              <w:t>provider receiving a referral.</w:t>
            </w:r>
          </w:p>
        </w:tc>
        <w:tc>
          <w:tcPr>
            <w:tcW w:w="2160" w:type="dxa"/>
          </w:tcPr>
          <w:p w14:paraId="07E7C5DA" w14:textId="5CEF8009" w:rsidR="00443C85" w:rsidRPr="008422EE" w:rsidRDefault="008422EE" w:rsidP="002D2F0A">
            <w:pPr>
              <w:spacing w:before="0" w:after="0"/>
              <w:ind w:left="0"/>
              <w:rPr>
                <w:rFonts w:ascii="Calibri" w:hAnsi="Calibri"/>
              </w:rPr>
            </w:pPr>
            <w:r w:rsidRPr="008422EE">
              <w:rPr>
                <w:rFonts w:ascii="Calibri" w:hAnsi="Calibri"/>
              </w:rPr>
              <w:t>QDM Management Team</w:t>
            </w:r>
          </w:p>
        </w:tc>
        <w:tc>
          <w:tcPr>
            <w:tcW w:w="1980" w:type="dxa"/>
          </w:tcPr>
          <w:p w14:paraId="619DE208" w14:textId="6B0FB86D" w:rsidR="00443C85" w:rsidRPr="008422EE" w:rsidRDefault="008422EE" w:rsidP="002D2F0A">
            <w:pPr>
              <w:spacing w:before="0" w:after="0"/>
              <w:ind w:left="0"/>
              <w:rPr>
                <w:rFonts w:ascii="Calibri" w:hAnsi="Calibri"/>
              </w:rPr>
            </w:pPr>
            <w:r w:rsidRPr="008422EE">
              <w:rPr>
                <w:rFonts w:ascii="Calibri" w:hAnsi="Calibri"/>
              </w:rPr>
              <w:t>July User Group meeting</w:t>
            </w:r>
          </w:p>
        </w:tc>
        <w:tc>
          <w:tcPr>
            <w:tcW w:w="1890" w:type="dxa"/>
          </w:tcPr>
          <w:p w14:paraId="00F542B3" w14:textId="552321A9" w:rsidR="00443C85" w:rsidRPr="008422EE" w:rsidRDefault="008422EE" w:rsidP="002D2F0A">
            <w:pPr>
              <w:spacing w:before="0" w:after="0"/>
              <w:ind w:left="0"/>
              <w:rPr>
                <w:rFonts w:ascii="Calibri" w:hAnsi="Calibri"/>
              </w:rPr>
            </w:pPr>
            <w:r w:rsidRPr="008422EE">
              <w:rPr>
                <w:rFonts w:ascii="Calibri" w:hAnsi="Calibri"/>
              </w:rPr>
              <w:t>In progress</w:t>
            </w:r>
          </w:p>
        </w:tc>
      </w:tr>
      <w:tr w:rsidR="008422EE" w14:paraId="28BA39D9" w14:textId="77777777" w:rsidTr="00443C85">
        <w:tc>
          <w:tcPr>
            <w:tcW w:w="8460" w:type="dxa"/>
          </w:tcPr>
          <w:p w14:paraId="37FF8123" w14:textId="76459F40" w:rsidR="008422EE" w:rsidRPr="00862FD6" w:rsidRDefault="008422EE" w:rsidP="00FF11D7">
            <w:pPr>
              <w:spacing w:before="0" w:after="0"/>
              <w:ind w:left="0"/>
              <w:rPr>
                <w:rFonts w:ascii="Calibri" w:hAnsi="Calibri"/>
              </w:rPr>
            </w:pPr>
            <w:r w:rsidRPr="00862FD6">
              <w:rPr>
                <w:rFonts w:ascii="Calibri" w:hAnsi="Calibri"/>
              </w:rPr>
              <w:t xml:space="preserve">QDM-59: </w:t>
            </w:r>
            <w:r w:rsidR="00FF11D7">
              <w:rPr>
                <w:rFonts w:ascii="Calibri" w:hAnsi="Calibri"/>
              </w:rPr>
              <w:t>Create new issue regarding the need to distinguish between external and internal events</w:t>
            </w:r>
            <w:r w:rsidRPr="00862FD6">
              <w:rPr>
                <w:rFonts w:ascii="Calibri" w:hAnsi="Calibri"/>
              </w:rPr>
              <w:t>.</w:t>
            </w:r>
          </w:p>
        </w:tc>
        <w:tc>
          <w:tcPr>
            <w:tcW w:w="2160" w:type="dxa"/>
          </w:tcPr>
          <w:p w14:paraId="6009EA9D" w14:textId="69077F7E" w:rsidR="008422EE" w:rsidRPr="008422EE" w:rsidRDefault="008422EE" w:rsidP="002D2F0A">
            <w:pPr>
              <w:spacing w:before="0" w:after="0"/>
              <w:ind w:left="0"/>
              <w:rPr>
                <w:rFonts w:ascii="Calibri" w:hAnsi="Calibri"/>
              </w:rPr>
            </w:pPr>
            <w:r w:rsidRPr="008422EE">
              <w:rPr>
                <w:rFonts w:ascii="Calibri" w:hAnsi="Calibri"/>
              </w:rPr>
              <w:t>QDM Management Team</w:t>
            </w:r>
          </w:p>
        </w:tc>
        <w:tc>
          <w:tcPr>
            <w:tcW w:w="1980" w:type="dxa"/>
          </w:tcPr>
          <w:p w14:paraId="777A6D23" w14:textId="5FB2F730" w:rsidR="008422EE" w:rsidRPr="008422EE" w:rsidRDefault="008422EE" w:rsidP="002D2F0A">
            <w:pPr>
              <w:spacing w:before="0" w:after="0"/>
              <w:ind w:left="0"/>
              <w:rPr>
                <w:rFonts w:ascii="Calibri" w:hAnsi="Calibri"/>
              </w:rPr>
            </w:pPr>
            <w:r w:rsidRPr="008422EE">
              <w:rPr>
                <w:rFonts w:ascii="Calibri" w:hAnsi="Calibri"/>
              </w:rPr>
              <w:t>July User Group meeting</w:t>
            </w:r>
          </w:p>
        </w:tc>
        <w:tc>
          <w:tcPr>
            <w:tcW w:w="1890" w:type="dxa"/>
          </w:tcPr>
          <w:p w14:paraId="2EB9CB55" w14:textId="67FB4BC4" w:rsidR="008422EE" w:rsidRPr="008422EE" w:rsidRDefault="00FF11D7" w:rsidP="002D2F0A">
            <w:pPr>
              <w:spacing w:before="0" w:after="0"/>
              <w:ind w:left="0"/>
              <w:rPr>
                <w:rFonts w:ascii="Calibri" w:hAnsi="Calibri"/>
              </w:rPr>
            </w:pPr>
            <w:r>
              <w:rPr>
                <w:rFonts w:ascii="Calibri" w:hAnsi="Calibri"/>
              </w:rPr>
              <w:t>Pending</w:t>
            </w:r>
          </w:p>
        </w:tc>
      </w:tr>
      <w:tr w:rsidR="008422EE" w14:paraId="09824EBF" w14:textId="77777777" w:rsidTr="00443C85">
        <w:tc>
          <w:tcPr>
            <w:tcW w:w="8460" w:type="dxa"/>
          </w:tcPr>
          <w:p w14:paraId="2F473727" w14:textId="5F24D55E" w:rsidR="008422EE" w:rsidRPr="00862FD6" w:rsidRDefault="008422EE" w:rsidP="00AF62F6">
            <w:pPr>
              <w:spacing w:before="0" w:after="0"/>
              <w:ind w:left="0"/>
              <w:rPr>
                <w:rFonts w:ascii="Calibri" w:hAnsi="Calibri"/>
              </w:rPr>
            </w:pPr>
            <w:r w:rsidRPr="00862FD6">
              <w:rPr>
                <w:rFonts w:ascii="Calibri" w:hAnsi="Calibri"/>
              </w:rPr>
              <w:t>QDM-55: Evaluate how EHRs currently capture location and level of care; clarify the measurement requirements for capturing a patient’s location at expiration</w:t>
            </w:r>
          </w:p>
        </w:tc>
        <w:tc>
          <w:tcPr>
            <w:tcW w:w="2160" w:type="dxa"/>
          </w:tcPr>
          <w:p w14:paraId="5A1BADC1" w14:textId="236999D4" w:rsidR="008422EE" w:rsidRPr="008422EE" w:rsidRDefault="008422EE" w:rsidP="002D2F0A">
            <w:pPr>
              <w:spacing w:before="0" w:after="0"/>
              <w:ind w:left="0"/>
              <w:rPr>
                <w:rFonts w:ascii="Calibri" w:hAnsi="Calibri"/>
              </w:rPr>
            </w:pPr>
            <w:r w:rsidRPr="008422EE">
              <w:rPr>
                <w:rFonts w:ascii="Calibri" w:hAnsi="Calibri"/>
              </w:rPr>
              <w:t>QDM Management Team</w:t>
            </w:r>
          </w:p>
        </w:tc>
        <w:tc>
          <w:tcPr>
            <w:tcW w:w="1980" w:type="dxa"/>
          </w:tcPr>
          <w:p w14:paraId="72E5B61A" w14:textId="253F2937" w:rsidR="008422EE" w:rsidRPr="008422EE" w:rsidRDefault="008422EE" w:rsidP="002D2F0A">
            <w:pPr>
              <w:spacing w:before="0" w:after="0"/>
              <w:ind w:left="0"/>
              <w:rPr>
                <w:rFonts w:ascii="Calibri" w:hAnsi="Calibri"/>
              </w:rPr>
            </w:pPr>
            <w:r w:rsidRPr="008422EE">
              <w:rPr>
                <w:rFonts w:ascii="Calibri" w:hAnsi="Calibri"/>
              </w:rPr>
              <w:t>July User Group meeting</w:t>
            </w:r>
          </w:p>
        </w:tc>
        <w:tc>
          <w:tcPr>
            <w:tcW w:w="1890" w:type="dxa"/>
          </w:tcPr>
          <w:p w14:paraId="71880059" w14:textId="2E967F3D" w:rsidR="008422EE" w:rsidRPr="008422EE" w:rsidRDefault="00FF11D7" w:rsidP="002D2F0A">
            <w:pPr>
              <w:spacing w:before="0" w:after="0"/>
              <w:ind w:left="0"/>
              <w:rPr>
                <w:rFonts w:ascii="Calibri" w:hAnsi="Calibri"/>
              </w:rPr>
            </w:pPr>
            <w:r>
              <w:rPr>
                <w:rFonts w:ascii="Calibri" w:hAnsi="Calibri"/>
              </w:rPr>
              <w:t>Pending</w:t>
            </w:r>
          </w:p>
        </w:tc>
      </w:tr>
      <w:tr w:rsidR="008422EE" w14:paraId="4DAE8DF6" w14:textId="77777777" w:rsidTr="00443C85">
        <w:tc>
          <w:tcPr>
            <w:tcW w:w="8460" w:type="dxa"/>
          </w:tcPr>
          <w:p w14:paraId="2EA0FB9B" w14:textId="26A0D0AB" w:rsidR="008422EE" w:rsidRPr="00862FD6" w:rsidRDefault="008422EE" w:rsidP="00862FD6">
            <w:pPr>
              <w:spacing w:before="0" w:after="0"/>
              <w:ind w:left="0"/>
              <w:rPr>
                <w:rFonts w:ascii="Calibri" w:hAnsi="Calibri"/>
              </w:rPr>
            </w:pPr>
            <w:r w:rsidRPr="00862FD6">
              <w:rPr>
                <w:rFonts w:ascii="Calibri" w:hAnsi="Calibri"/>
              </w:rPr>
              <w:t>QDM-70: Distribute the proposed revised logic for CMS 72 and CMS 73 with the applicable measure developers for vetting</w:t>
            </w:r>
          </w:p>
        </w:tc>
        <w:tc>
          <w:tcPr>
            <w:tcW w:w="2160" w:type="dxa"/>
          </w:tcPr>
          <w:p w14:paraId="70E13E33" w14:textId="627B324D" w:rsidR="008422EE" w:rsidRPr="008422EE" w:rsidRDefault="008422EE" w:rsidP="002D2F0A">
            <w:pPr>
              <w:spacing w:before="0" w:after="0"/>
              <w:ind w:left="0"/>
              <w:rPr>
                <w:rFonts w:ascii="Calibri" w:hAnsi="Calibri"/>
              </w:rPr>
            </w:pPr>
            <w:r w:rsidRPr="008422EE">
              <w:rPr>
                <w:rFonts w:ascii="Calibri" w:hAnsi="Calibri"/>
              </w:rPr>
              <w:t>QDM Management Team</w:t>
            </w:r>
          </w:p>
        </w:tc>
        <w:tc>
          <w:tcPr>
            <w:tcW w:w="1980" w:type="dxa"/>
          </w:tcPr>
          <w:p w14:paraId="0C1C2304" w14:textId="1B6B46FA" w:rsidR="008422EE" w:rsidRPr="008422EE" w:rsidRDefault="00FF11D7" w:rsidP="008422EE">
            <w:pPr>
              <w:spacing w:before="0" w:after="0"/>
              <w:ind w:left="0"/>
              <w:rPr>
                <w:rFonts w:ascii="Calibri" w:hAnsi="Calibri"/>
              </w:rPr>
            </w:pPr>
            <w:r>
              <w:rPr>
                <w:rFonts w:ascii="Calibri" w:hAnsi="Calibri"/>
              </w:rPr>
              <w:t>June 27, 2014</w:t>
            </w:r>
          </w:p>
        </w:tc>
        <w:tc>
          <w:tcPr>
            <w:tcW w:w="1890" w:type="dxa"/>
          </w:tcPr>
          <w:p w14:paraId="2E7806ED" w14:textId="10A35B9E" w:rsidR="008422EE" w:rsidRPr="008422EE" w:rsidRDefault="00FF11D7" w:rsidP="00FF11D7">
            <w:pPr>
              <w:spacing w:before="0" w:after="0"/>
              <w:ind w:left="0"/>
              <w:rPr>
                <w:rFonts w:ascii="Calibri" w:hAnsi="Calibri"/>
              </w:rPr>
            </w:pPr>
            <w:r>
              <w:rPr>
                <w:rFonts w:ascii="Calibri" w:hAnsi="Calibri"/>
              </w:rPr>
              <w:t>Pending</w:t>
            </w:r>
          </w:p>
        </w:tc>
      </w:tr>
      <w:tr w:rsidR="008422EE" w14:paraId="253F04D5" w14:textId="77777777" w:rsidTr="00443C85">
        <w:tc>
          <w:tcPr>
            <w:tcW w:w="8460" w:type="dxa"/>
          </w:tcPr>
          <w:p w14:paraId="19C936CF" w14:textId="43CBD8EF" w:rsidR="008422EE" w:rsidRPr="00862FD6" w:rsidRDefault="008422EE" w:rsidP="00674C59">
            <w:pPr>
              <w:spacing w:before="0" w:after="0"/>
              <w:ind w:left="0"/>
              <w:rPr>
                <w:rFonts w:ascii="Calibri" w:hAnsi="Calibri"/>
              </w:rPr>
            </w:pPr>
            <w:r w:rsidRPr="00862FD6">
              <w:rPr>
                <w:rFonts w:ascii="Calibri" w:hAnsi="Calibri"/>
              </w:rPr>
              <w:t xml:space="preserve">Send feedback on the QDM 4.0’s layout and structure to </w:t>
            </w:r>
            <w:hyperlink r:id="rId21" w:history="1">
              <w:r w:rsidRPr="00862FD6">
                <w:rPr>
                  <w:rStyle w:val="Hyperlink"/>
                  <w:rFonts w:ascii="Calibri" w:hAnsi="Calibri" w:cstheme="minorBidi"/>
                  <w:u w:val="none"/>
                </w:rPr>
                <w:t>qdm@mitre.org</w:t>
              </w:r>
            </w:hyperlink>
            <w:r w:rsidRPr="00862FD6">
              <w:rPr>
                <w:rFonts w:ascii="Calibri" w:hAnsi="Calibri"/>
              </w:rPr>
              <w:t>.</w:t>
            </w:r>
          </w:p>
        </w:tc>
        <w:tc>
          <w:tcPr>
            <w:tcW w:w="2160" w:type="dxa"/>
          </w:tcPr>
          <w:p w14:paraId="5748685B" w14:textId="7B34BF54" w:rsidR="008422EE" w:rsidRPr="008422EE" w:rsidRDefault="008422EE" w:rsidP="002D2F0A">
            <w:pPr>
              <w:spacing w:before="0" w:after="0"/>
              <w:ind w:left="0"/>
              <w:rPr>
                <w:rFonts w:ascii="Calibri" w:hAnsi="Calibri"/>
              </w:rPr>
            </w:pPr>
            <w:r w:rsidRPr="008422EE">
              <w:rPr>
                <w:rFonts w:ascii="Calibri" w:hAnsi="Calibri"/>
              </w:rPr>
              <w:t>QDM User Group</w:t>
            </w:r>
          </w:p>
        </w:tc>
        <w:tc>
          <w:tcPr>
            <w:tcW w:w="1980" w:type="dxa"/>
          </w:tcPr>
          <w:p w14:paraId="0FD85E00" w14:textId="6B9856DF" w:rsidR="008422EE" w:rsidRPr="008422EE" w:rsidRDefault="008422EE" w:rsidP="002D2F0A">
            <w:pPr>
              <w:spacing w:before="0" w:after="0"/>
              <w:ind w:left="0"/>
              <w:rPr>
                <w:rFonts w:ascii="Calibri" w:hAnsi="Calibri"/>
              </w:rPr>
            </w:pPr>
            <w:r w:rsidRPr="008422EE">
              <w:rPr>
                <w:rFonts w:ascii="Calibri" w:hAnsi="Calibri"/>
              </w:rPr>
              <w:t>July 3, 2014</w:t>
            </w:r>
          </w:p>
        </w:tc>
        <w:tc>
          <w:tcPr>
            <w:tcW w:w="1890" w:type="dxa"/>
          </w:tcPr>
          <w:p w14:paraId="7A9AF1E6" w14:textId="4E499129" w:rsidR="008422EE" w:rsidRPr="008422EE" w:rsidRDefault="008422EE" w:rsidP="002D2F0A">
            <w:pPr>
              <w:spacing w:before="0" w:after="0"/>
              <w:ind w:left="0"/>
              <w:rPr>
                <w:rFonts w:ascii="Calibri" w:hAnsi="Calibri"/>
              </w:rPr>
            </w:pPr>
            <w:r w:rsidRPr="008422EE">
              <w:rPr>
                <w:rFonts w:ascii="Calibri" w:hAnsi="Calibri"/>
              </w:rPr>
              <w:t>In progress</w:t>
            </w:r>
          </w:p>
        </w:tc>
      </w:tr>
    </w:tbl>
    <w:p w14:paraId="02E38BA7" w14:textId="77777777" w:rsidR="00443C85" w:rsidRPr="006C68DA" w:rsidRDefault="00443C85" w:rsidP="002D2F0A">
      <w:pPr>
        <w:spacing w:before="0" w:after="0"/>
        <w:ind w:left="0"/>
      </w:pPr>
    </w:p>
    <w:sectPr w:rsidR="00443C85" w:rsidRPr="006C68DA" w:rsidSect="000138D0">
      <w:footerReference w:type="even" r:id="rId22"/>
      <w:footerReference w:type="default" r:id="rId2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787F" w14:textId="77777777" w:rsidR="00F5077A" w:rsidRDefault="00F5077A">
      <w:r>
        <w:separator/>
      </w:r>
    </w:p>
    <w:p w14:paraId="257D8D76" w14:textId="77777777" w:rsidR="00F5077A" w:rsidRDefault="00F5077A"/>
    <w:p w14:paraId="5CA89BDE" w14:textId="77777777" w:rsidR="00F5077A" w:rsidRDefault="00F5077A"/>
  </w:endnote>
  <w:endnote w:type="continuationSeparator" w:id="0">
    <w:p w14:paraId="337B6234" w14:textId="77777777" w:rsidR="00F5077A" w:rsidRDefault="00F5077A">
      <w:r>
        <w:continuationSeparator/>
      </w:r>
    </w:p>
    <w:p w14:paraId="1F7335BE" w14:textId="77777777" w:rsidR="00F5077A" w:rsidRDefault="00F5077A"/>
    <w:p w14:paraId="21E16D20" w14:textId="77777777" w:rsidR="00F5077A" w:rsidRDefault="00F5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A4A9F" w14:textId="77777777" w:rsidR="00FF11D7" w:rsidRDefault="00FF11D7"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FF11D7" w:rsidRDefault="00FF11D7" w:rsidP="00625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828F" w14:textId="77777777" w:rsidR="00FF11D7" w:rsidRPr="00625C47" w:rsidRDefault="00FF11D7"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6E67C8">
      <w:rPr>
        <w:rStyle w:val="PageNumber"/>
        <w:rFonts w:ascii="Arial" w:hAnsi="Arial"/>
        <w:noProof/>
        <w:sz w:val="16"/>
        <w:szCs w:val="16"/>
      </w:rPr>
      <w:t>4</w:t>
    </w:r>
    <w:r w:rsidRPr="00625C47">
      <w:rPr>
        <w:rStyle w:val="PageNumber"/>
        <w:rFonts w:ascii="Arial" w:hAnsi="Arial"/>
        <w:sz w:val="16"/>
        <w:szCs w:val="16"/>
      </w:rPr>
      <w:fldChar w:fldCharType="end"/>
    </w:r>
  </w:p>
  <w:p w14:paraId="39081870" w14:textId="77777777" w:rsidR="00FF11D7" w:rsidRDefault="00FF11D7"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3FEE" w14:textId="77777777" w:rsidR="00F5077A" w:rsidRDefault="00F5077A">
      <w:r>
        <w:separator/>
      </w:r>
    </w:p>
    <w:p w14:paraId="712A4AC0" w14:textId="77777777" w:rsidR="00F5077A" w:rsidRDefault="00F5077A"/>
    <w:p w14:paraId="7E8297EA" w14:textId="77777777" w:rsidR="00F5077A" w:rsidRDefault="00F5077A"/>
  </w:footnote>
  <w:footnote w:type="continuationSeparator" w:id="0">
    <w:p w14:paraId="049BEACD" w14:textId="77777777" w:rsidR="00F5077A" w:rsidRDefault="00F5077A">
      <w:r>
        <w:continuationSeparator/>
      </w:r>
    </w:p>
    <w:p w14:paraId="6C8B61CF" w14:textId="77777777" w:rsidR="00F5077A" w:rsidRDefault="00F5077A"/>
    <w:p w14:paraId="3A3429E7" w14:textId="77777777" w:rsidR="00F5077A" w:rsidRDefault="00F507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8F6721E"/>
    <w:multiLevelType w:val="hybridMultilevel"/>
    <w:tmpl w:val="18ACF4C4"/>
    <w:lvl w:ilvl="0" w:tplc="236098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3">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4">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2B1E5A2E"/>
    <w:multiLevelType w:val="hybridMultilevel"/>
    <w:tmpl w:val="AAAC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1E12F2"/>
    <w:multiLevelType w:val="hybridMultilevel"/>
    <w:tmpl w:val="E518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831DC9"/>
    <w:multiLevelType w:val="hybridMultilevel"/>
    <w:tmpl w:val="9D28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4">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273C43"/>
    <w:multiLevelType w:val="hybridMultilevel"/>
    <w:tmpl w:val="44A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4">
    <w:nsid w:val="6C1E0FE5"/>
    <w:multiLevelType w:val="hybridMultilevel"/>
    <w:tmpl w:val="F044E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8"/>
  </w:num>
  <w:num w:numId="13">
    <w:abstractNumId w:val="18"/>
  </w:num>
  <w:num w:numId="14">
    <w:abstractNumId w:val="24"/>
  </w:num>
  <w:num w:numId="15">
    <w:abstractNumId w:val="16"/>
  </w:num>
  <w:num w:numId="16">
    <w:abstractNumId w:val="17"/>
  </w:num>
  <w:num w:numId="17">
    <w:abstractNumId w:val="32"/>
  </w:num>
  <w:num w:numId="18">
    <w:abstractNumId w:val="12"/>
  </w:num>
  <w:num w:numId="19">
    <w:abstractNumId w:val="36"/>
  </w:num>
  <w:num w:numId="20">
    <w:abstractNumId w:val="29"/>
  </w:num>
  <w:num w:numId="21">
    <w:abstractNumId w:val="33"/>
  </w:num>
  <w:num w:numId="22">
    <w:abstractNumId w:val="35"/>
  </w:num>
  <w:num w:numId="23">
    <w:abstractNumId w:val="37"/>
  </w:num>
  <w:num w:numId="24">
    <w:abstractNumId w:val="30"/>
  </w:num>
  <w:num w:numId="25">
    <w:abstractNumId w:val="15"/>
  </w:num>
  <w:num w:numId="26">
    <w:abstractNumId w:val="14"/>
  </w:num>
  <w:num w:numId="27">
    <w:abstractNumId w:val="21"/>
  </w:num>
  <w:num w:numId="28">
    <w:abstractNumId w:val="23"/>
  </w:num>
  <w:num w:numId="29">
    <w:abstractNumId w:val="25"/>
  </w:num>
  <w:num w:numId="30">
    <w:abstractNumId w:val="27"/>
  </w:num>
  <w:num w:numId="31">
    <w:abstractNumId w:val="13"/>
  </w:num>
  <w:num w:numId="32">
    <w:abstractNumId w:val="11"/>
  </w:num>
  <w:num w:numId="33">
    <w:abstractNumId w:val="26"/>
  </w:num>
  <w:num w:numId="34">
    <w:abstractNumId w:val="10"/>
  </w:num>
  <w:num w:numId="35">
    <w:abstractNumId w:val="22"/>
  </w:num>
  <w:num w:numId="36">
    <w:abstractNumId w:val="34"/>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1C"/>
    <w:rsid w:val="00007B3E"/>
    <w:rsid w:val="000138D0"/>
    <w:rsid w:val="00020BC1"/>
    <w:rsid w:val="00022574"/>
    <w:rsid w:val="000227DF"/>
    <w:rsid w:val="0002364E"/>
    <w:rsid w:val="000268D1"/>
    <w:rsid w:val="000273DD"/>
    <w:rsid w:val="000338D6"/>
    <w:rsid w:val="00040017"/>
    <w:rsid w:val="00043F1A"/>
    <w:rsid w:val="00052A94"/>
    <w:rsid w:val="00063BAA"/>
    <w:rsid w:val="000640D0"/>
    <w:rsid w:val="00064824"/>
    <w:rsid w:val="00070D45"/>
    <w:rsid w:val="00071029"/>
    <w:rsid w:val="00074242"/>
    <w:rsid w:val="0007715F"/>
    <w:rsid w:val="00082EA8"/>
    <w:rsid w:val="00087002"/>
    <w:rsid w:val="00087E1F"/>
    <w:rsid w:val="00090B09"/>
    <w:rsid w:val="000A38A5"/>
    <w:rsid w:val="000A70F4"/>
    <w:rsid w:val="000B12EC"/>
    <w:rsid w:val="000B3F83"/>
    <w:rsid w:val="000B5A42"/>
    <w:rsid w:val="000B6CB4"/>
    <w:rsid w:val="000C03AB"/>
    <w:rsid w:val="000C2B28"/>
    <w:rsid w:val="000D76A1"/>
    <w:rsid w:val="000E42B1"/>
    <w:rsid w:val="000F2FD7"/>
    <w:rsid w:val="000F5217"/>
    <w:rsid w:val="000F7134"/>
    <w:rsid w:val="001048FB"/>
    <w:rsid w:val="0010744B"/>
    <w:rsid w:val="00107D25"/>
    <w:rsid w:val="00110F6E"/>
    <w:rsid w:val="00112F50"/>
    <w:rsid w:val="00116E3A"/>
    <w:rsid w:val="0012132B"/>
    <w:rsid w:val="001338A7"/>
    <w:rsid w:val="00134031"/>
    <w:rsid w:val="0013490B"/>
    <w:rsid w:val="00135963"/>
    <w:rsid w:val="001401AE"/>
    <w:rsid w:val="00141D49"/>
    <w:rsid w:val="0015769E"/>
    <w:rsid w:val="00160585"/>
    <w:rsid w:val="00160AAC"/>
    <w:rsid w:val="00162BD4"/>
    <w:rsid w:val="001657FD"/>
    <w:rsid w:val="00167835"/>
    <w:rsid w:val="00171871"/>
    <w:rsid w:val="0017453D"/>
    <w:rsid w:val="001A3999"/>
    <w:rsid w:val="001A3E6F"/>
    <w:rsid w:val="001C176E"/>
    <w:rsid w:val="001C1A8E"/>
    <w:rsid w:val="001C7078"/>
    <w:rsid w:val="001C70AC"/>
    <w:rsid w:val="001D53C4"/>
    <w:rsid w:val="001D54DD"/>
    <w:rsid w:val="001E6268"/>
    <w:rsid w:val="001F4A68"/>
    <w:rsid w:val="001F7DB1"/>
    <w:rsid w:val="00200302"/>
    <w:rsid w:val="0020251F"/>
    <w:rsid w:val="00210DAE"/>
    <w:rsid w:val="00212750"/>
    <w:rsid w:val="00215A0A"/>
    <w:rsid w:val="00220104"/>
    <w:rsid w:val="00220E79"/>
    <w:rsid w:val="00222818"/>
    <w:rsid w:val="002257BF"/>
    <w:rsid w:val="002275C5"/>
    <w:rsid w:val="00231307"/>
    <w:rsid w:val="00232B4C"/>
    <w:rsid w:val="00232C8B"/>
    <w:rsid w:val="00246940"/>
    <w:rsid w:val="00246E00"/>
    <w:rsid w:val="00262E08"/>
    <w:rsid w:val="002662CA"/>
    <w:rsid w:val="0027566D"/>
    <w:rsid w:val="00277631"/>
    <w:rsid w:val="002947D8"/>
    <w:rsid w:val="002A01C3"/>
    <w:rsid w:val="002A2FD3"/>
    <w:rsid w:val="002A4B46"/>
    <w:rsid w:val="002B3102"/>
    <w:rsid w:val="002C17B2"/>
    <w:rsid w:val="002D2F0A"/>
    <w:rsid w:val="002D65E3"/>
    <w:rsid w:val="00303948"/>
    <w:rsid w:val="00307276"/>
    <w:rsid w:val="00307A50"/>
    <w:rsid w:val="0031023F"/>
    <w:rsid w:val="0031145B"/>
    <w:rsid w:val="00313351"/>
    <w:rsid w:val="00322479"/>
    <w:rsid w:val="00324D9A"/>
    <w:rsid w:val="00327821"/>
    <w:rsid w:val="003345D1"/>
    <w:rsid w:val="003453EF"/>
    <w:rsid w:val="003506C0"/>
    <w:rsid w:val="00351961"/>
    <w:rsid w:val="00354C88"/>
    <w:rsid w:val="003557D0"/>
    <w:rsid w:val="00356DEF"/>
    <w:rsid w:val="00366CCF"/>
    <w:rsid w:val="00372FD2"/>
    <w:rsid w:val="003734DB"/>
    <w:rsid w:val="00375D90"/>
    <w:rsid w:val="0037665B"/>
    <w:rsid w:val="00386529"/>
    <w:rsid w:val="003935B2"/>
    <w:rsid w:val="003945BD"/>
    <w:rsid w:val="003B6064"/>
    <w:rsid w:val="003B7040"/>
    <w:rsid w:val="003D0AB2"/>
    <w:rsid w:val="003D0C89"/>
    <w:rsid w:val="003D66B5"/>
    <w:rsid w:val="003E315B"/>
    <w:rsid w:val="003E362A"/>
    <w:rsid w:val="003E4B21"/>
    <w:rsid w:val="003E650A"/>
    <w:rsid w:val="003F037C"/>
    <w:rsid w:val="003F0639"/>
    <w:rsid w:val="003F0CAC"/>
    <w:rsid w:val="003F23B0"/>
    <w:rsid w:val="00405474"/>
    <w:rsid w:val="00420A1A"/>
    <w:rsid w:val="00427071"/>
    <w:rsid w:val="00432DD5"/>
    <w:rsid w:val="00443C85"/>
    <w:rsid w:val="00452AB9"/>
    <w:rsid w:val="00471463"/>
    <w:rsid w:val="004778A8"/>
    <w:rsid w:val="0048035E"/>
    <w:rsid w:val="0048075A"/>
    <w:rsid w:val="00484C8E"/>
    <w:rsid w:val="004879C2"/>
    <w:rsid w:val="004941E3"/>
    <w:rsid w:val="004A1E1C"/>
    <w:rsid w:val="004A4983"/>
    <w:rsid w:val="004B713F"/>
    <w:rsid w:val="004C2947"/>
    <w:rsid w:val="004C2E44"/>
    <w:rsid w:val="004C2F71"/>
    <w:rsid w:val="004D3A0B"/>
    <w:rsid w:val="004D58D8"/>
    <w:rsid w:val="004E326D"/>
    <w:rsid w:val="004E639D"/>
    <w:rsid w:val="004E7B80"/>
    <w:rsid w:val="004F5785"/>
    <w:rsid w:val="00503B7C"/>
    <w:rsid w:val="00510D51"/>
    <w:rsid w:val="00537EB8"/>
    <w:rsid w:val="005411A2"/>
    <w:rsid w:val="00543700"/>
    <w:rsid w:val="005512A6"/>
    <w:rsid w:val="00552D63"/>
    <w:rsid w:val="0055478C"/>
    <w:rsid w:val="00560459"/>
    <w:rsid w:val="005607C3"/>
    <w:rsid w:val="00566C59"/>
    <w:rsid w:val="005714F1"/>
    <w:rsid w:val="00572E20"/>
    <w:rsid w:val="005730FD"/>
    <w:rsid w:val="005842C5"/>
    <w:rsid w:val="00593DE5"/>
    <w:rsid w:val="00594443"/>
    <w:rsid w:val="005A234C"/>
    <w:rsid w:val="005A5F32"/>
    <w:rsid w:val="005A7D68"/>
    <w:rsid w:val="005B6309"/>
    <w:rsid w:val="005C6166"/>
    <w:rsid w:val="005D7B39"/>
    <w:rsid w:val="005E052F"/>
    <w:rsid w:val="005F474A"/>
    <w:rsid w:val="005F4C49"/>
    <w:rsid w:val="006007C2"/>
    <w:rsid w:val="00612F73"/>
    <w:rsid w:val="00623F3A"/>
    <w:rsid w:val="00625C47"/>
    <w:rsid w:val="006325F9"/>
    <w:rsid w:val="00637AC8"/>
    <w:rsid w:val="00640071"/>
    <w:rsid w:val="0064521C"/>
    <w:rsid w:val="00650168"/>
    <w:rsid w:val="006572F2"/>
    <w:rsid w:val="006645B5"/>
    <w:rsid w:val="00664C6A"/>
    <w:rsid w:val="0067237B"/>
    <w:rsid w:val="00674C59"/>
    <w:rsid w:val="00675241"/>
    <w:rsid w:val="00681F50"/>
    <w:rsid w:val="00687A1E"/>
    <w:rsid w:val="006A0EB8"/>
    <w:rsid w:val="006A1534"/>
    <w:rsid w:val="006A630C"/>
    <w:rsid w:val="006B3E9A"/>
    <w:rsid w:val="006B7DA6"/>
    <w:rsid w:val="006C360A"/>
    <w:rsid w:val="006D04CB"/>
    <w:rsid w:val="006E43A5"/>
    <w:rsid w:val="006E67C8"/>
    <w:rsid w:val="006F0E3D"/>
    <w:rsid w:val="006F7AB4"/>
    <w:rsid w:val="007035B0"/>
    <w:rsid w:val="0070379B"/>
    <w:rsid w:val="007042B6"/>
    <w:rsid w:val="00705215"/>
    <w:rsid w:val="00711D57"/>
    <w:rsid w:val="0071291B"/>
    <w:rsid w:val="0071549F"/>
    <w:rsid w:val="007227D8"/>
    <w:rsid w:val="00727106"/>
    <w:rsid w:val="0073287F"/>
    <w:rsid w:val="00732F3A"/>
    <w:rsid w:val="00736B8C"/>
    <w:rsid w:val="007436F7"/>
    <w:rsid w:val="007461BA"/>
    <w:rsid w:val="00750794"/>
    <w:rsid w:val="00751D53"/>
    <w:rsid w:val="00753B63"/>
    <w:rsid w:val="00761E0F"/>
    <w:rsid w:val="007642CF"/>
    <w:rsid w:val="00770E54"/>
    <w:rsid w:val="0077714C"/>
    <w:rsid w:val="007776AC"/>
    <w:rsid w:val="0079008B"/>
    <w:rsid w:val="00792D78"/>
    <w:rsid w:val="007A34A2"/>
    <w:rsid w:val="007C408D"/>
    <w:rsid w:val="007C414E"/>
    <w:rsid w:val="007E5E26"/>
    <w:rsid w:val="007F0EE9"/>
    <w:rsid w:val="007F6AD6"/>
    <w:rsid w:val="00802D32"/>
    <w:rsid w:val="0080449C"/>
    <w:rsid w:val="00811CD7"/>
    <w:rsid w:val="0081686E"/>
    <w:rsid w:val="00823427"/>
    <w:rsid w:val="0082360C"/>
    <w:rsid w:val="008302C9"/>
    <w:rsid w:val="008309B4"/>
    <w:rsid w:val="008362D5"/>
    <w:rsid w:val="008422EE"/>
    <w:rsid w:val="00843693"/>
    <w:rsid w:val="008443BC"/>
    <w:rsid w:val="00844A61"/>
    <w:rsid w:val="008508F4"/>
    <w:rsid w:val="00862FD6"/>
    <w:rsid w:val="008654D2"/>
    <w:rsid w:val="00870549"/>
    <w:rsid w:val="008721D0"/>
    <w:rsid w:val="0088132E"/>
    <w:rsid w:val="00881A98"/>
    <w:rsid w:val="008871D8"/>
    <w:rsid w:val="00892EC5"/>
    <w:rsid w:val="008A09FB"/>
    <w:rsid w:val="008B2C07"/>
    <w:rsid w:val="008B6E21"/>
    <w:rsid w:val="008B7EAD"/>
    <w:rsid w:val="008C1373"/>
    <w:rsid w:val="008C264D"/>
    <w:rsid w:val="008C4E66"/>
    <w:rsid w:val="008D6DFA"/>
    <w:rsid w:val="008E5F6D"/>
    <w:rsid w:val="008F2043"/>
    <w:rsid w:val="00901313"/>
    <w:rsid w:val="0091507D"/>
    <w:rsid w:val="0091583B"/>
    <w:rsid w:val="00921660"/>
    <w:rsid w:val="0093451F"/>
    <w:rsid w:val="00937C0E"/>
    <w:rsid w:val="009423C6"/>
    <w:rsid w:val="009473FE"/>
    <w:rsid w:val="00951FA4"/>
    <w:rsid w:val="0096078B"/>
    <w:rsid w:val="009740C4"/>
    <w:rsid w:val="00974139"/>
    <w:rsid w:val="00975749"/>
    <w:rsid w:val="00992134"/>
    <w:rsid w:val="00996A95"/>
    <w:rsid w:val="009A1898"/>
    <w:rsid w:val="009A352B"/>
    <w:rsid w:val="009A4C7B"/>
    <w:rsid w:val="009B228C"/>
    <w:rsid w:val="009C39DE"/>
    <w:rsid w:val="009C3C13"/>
    <w:rsid w:val="009D088C"/>
    <w:rsid w:val="009D2FC3"/>
    <w:rsid w:val="009E380F"/>
    <w:rsid w:val="009F1B18"/>
    <w:rsid w:val="00A01F55"/>
    <w:rsid w:val="00A04C28"/>
    <w:rsid w:val="00A071A9"/>
    <w:rsid w:val="00A077CD"/>
    <w:rsid w:val="00A1131E"/>
    <w:rsid w:val="00A16CF9"/>
    <w:rsid w:val="00A2205B"/>
    <w:rsid w:val="00A264C4"/>
    <w:rsid w:val="00A27EA4"/>
    <w:rsid w:val="00A30BEF"/>
    <w:rsid w:val="00A32016"/>
    <w:rsid w:val="00A442CB"/>
    <w:rsid w:val="00A46267"/>
    <w:rsid w:val="00A702ED"/>
    <w:rsid w:val="00A71D06"/>
    <w:rsid w:val="00A736C2"/>
    <w:rsid w:val="00A77699"/>
    <w:rsid w:val="00A9579E"/>
    <w:rsid w:val="00A95BD2"/>
    <w:rsid w:val="00AA2399"/>
    <w:rsid w:val="00AB1002"/>
    <w:rsid w:val="00AB529E"/>
    <w:rsid w:val="00AC55F8"/>
    <w:rsid w:val="00AC7C35"/>
    <w:rsid w:val="00AD23DE"/>
    <w:rsid w:val="00AD295F"/>
    <w:rsid w:val="00AD5BE7"/>
    <w:rsid w:val="00AE086C"/>
    <w:rsid w:val="00AE39A1"/>
    <w:rsid w:val="00AF1887"/>
    <w:rsid w:val="00AF227C"/>
    <w:rsid w:val="00AF4E56"/>
    <w:rsid w:val="00AF62F6"/>
    <w:rsid w:val="00B0626A"/>
    <w:rsid w:val="00B07F96"/>
    <w:rsid w:val="00B114C8"/>
    <w:rsid w:val="00B12841"/>
    <w:rsid w:val="00B12F13"/>
    <w:rsid w:val="00B13E94"/>
    <w:rsid w:val="00B145B0"/>
    <w:rsid w:val="00B249E5"/>
    <w:rsid w:val="00B24F75"/>
    <w:rsid w:val="00B25D35"/>
    <w:rsid w:val="00B3642D"/>
    <w:rsid w:val="00B4601E"/>
    <w:rsid w:val="00B50283"/>
    <w:rsid w:val="00B53486"/>
    <w:rsid w:val="00B5417A"/>
    <w:rsid w:val="00B63B6C"/>
    <w:rsid w:val="00B67870"/>
    <w:rsid w:val="00B7473F"/>
    <w:rsid w:val="00B8476F"/>
    <w:rsid w:val="00B87EF5"/>
    <w:rsid w:val="00B95F2F"/>
    <w:rsid w:val="00B96C62"/>
    <w:rsid w:val="00BA57D3"/>
    <w:rsid w:val="00BA5B09"/>
    <w:rsid w:val="00BC6A29"/>
    <w:rsid w:val="00BD0579"/>
    <w:rsid w:val="00BF20D2"/>
    <w:rsid w:val="00BF2652"/>
    <w:rsid w:val="00BF377B"/>
    <w:rsid w:val="00BF6034"/>
    <w:rsid w:val="00BF61E7"/>
    <w:rsid w:val="00C00724"/>
    <w:rsid w:val="00C014B9"/>
    <w:rsid w:val="00C031B7"/>
    <w:rsid w:val="00C0348E"/>
    <w:rsid w:val="00C05AEA"/>
    <w:rsid w:val="00C07CC8"/>
    <w:rsid w:val="00C2696C"/>
    <w:rsid w:val="00C31213"/>
    <w:rsid w:val="00C507A6"/>
    <w:rsid w:val="00C53FE9"/>
    <w:rsid w:val="00C60980"/>
    <w:rsid w:val="00C67768"/>
    <w:rsid w:val="00C705AE"/>
    <w:rsid w:val="00C74210"/>
    <w:rsid w:val="00C768CE"/>
    <w:rsid w:val="00C9431A"/>
    <w:rsid w:val="00CA1451"/>
    <w:rsid w:val="00CA284C"/>
    <w:rsid w:val="00CA30E7"/>
    <w:rsid w:val="00CA5FDD"/>
    <w:rsid w:val="00CB058B"/>
    <w:rsid w:val="00CB1193"/>
    <w:rsid w:val="00CB3910"/>
    <w:rsid w:val="00CB3A7B"/>
    <w:rsid w:val="00CC1F98"/>
    <w:rsid w:val="00CC693E"/>
    <w:rsid w:val="00CD1B48"/>
    <w:rsid w:val="00CD5F09"/>
    <w:rsid w:val="00CE4F2C"/>
    <w:rsid w:val="00CE72E0"/>
    <w:rsid w:val="00CE762C"/>
    <w:rsid w:val="00CF1BAD"/>
    <w:rsid w:val="00CF3FA4"/>
    <w:rsid w:val="00D02608"/>
    <w:rsid w:val="00D039B6"/>
    <w:rsid w:val="00D073D0"/>
    <w:rsid w:val="00D12DE3"/>
    <w:rsid w:val="00D25E48"/>
    <w:rsid w:val="00D33933"/>
    <w:rsid w:val="00D377CE"/>
    <w:rsid w:val="00D42D92"/>
    <w:rsid w:val="00D5001D"/>
    <w:rsid w:val="00D619A8"/>
    <w:rsid w:val="00D70258"/>
    <w:rsid w:val="00D8229B"/>
    <w:rsid w:val="00D84327"/>
    <w:rsid w:val="00D84C2A"/>
    <w:rsid w:val="00D8668A"/>
    <w:rsid w:val="00DA031B"/>
    <w:rsid w:val="00DA577D"/>
    <w:rsid w:val="00DA6C3B"/>
    <w:rsid w:val="00DA78C4"/>
    <w:rsid w:val="00DB3695"/>
    <w:rsid w:val="00DB7329"/>
    <w:rsid w:val="00DC0A2A"/>
    <w:rsid w:val="00DE1FE1"/>
    <w:rsid w:val="00DE5D3C"/>
    <w:rsid w:val="00DF5039"/>
    <w:rsid w:val="00DF526F"/>
    <w:rsid w:val="00DF7E73"/>
    <w:rsid w:val="00E02659"/>
    <w:rsid w:val="00E06276"/>
    <w:rsid w:val="00E17744"/>
    <w:rsid w:val="00E20DE0"/>
    <w:rsid w:val="00E23898"/>
    <w:rsid w:val="00E26A0A"/>
    <w:rsid w:val="00E34B9B"/>
    <w:rsid w:val="00E425E5"/>
    <w:rsid w:val="00E46A48"/>
    <w:rsid w:val="00E50041"/>
    <w:rsid w:val="00E52265"/>
    <w:rsid w:val="00E61E81"/>
    <w:rsid w:val="00E62924"/>
    <w:rsid w:val="00E64DB9"/>
    <w:rsid w:val="00E677A1"/>
    <w:rsid w:val="00E73D34"/>
    <w:rsid w:val="00E80F8D"/>
    <w:rsid w:val="00E81997"/>
    <w:rsid w:val="00E849D2"/>
    <w:rsid w:val="00E869D1"/>
    <w:rsid w:val="00EA5A53"/>
    <w:rsid w:val="00EB0A77"/>
    <w:rsid w:val="00ED59A3"/>
    <w:rsid w:val="00ED5ECF"/>
    <w:rsid w:val="00EF2544"/>
    <w:rsid w:val="00EF4D0C"/>
    <w:rsid w:val="00EF694F"/>
    <w:rsid w:val="00F06373"/>
    <w:rsid w:val="00F1128A"/>
    <w:rsid w:val="00F13088"/>
    <w:rsid w:val="00F2198A"/>
    <w:rsid w:val="00F21FF1"/>
    <w:rsid w:val="00F2312C"/>
    <w:rsid w:val="00F23DA1"/>
    <w:rsid w:val="00F403F4"/>
    <w:rsid w:val="00F44EB1"/>
    <w:rsid w:val="00F5077A"/>
    <w:rsid w:val="00F577B2"/>
    <w:rsid w:val="00F63E25"/>
    <w:rsid w:val="00F66F86"/>
    <w:rsid w:val="00F6730D"/>
    <w:rsid w:val="00F71ED5"/>
    <w:rsid w:val="00F73530"/>
    <w:rsid w:val="00F766B6"/>
    <w:rsid w:val="00F839BE"/>
    <w:rsid w:val="00F9082A"/>
    <w:rsid w:val="00F90B91"/>
    <w:rsid w:val="00F95A1E"/>
    <w:rsid w:val="00F9618F"/>
    <w:rsid w:val="00FB02E2"/>
    <w:rsid w:val="00FC305B"/>
    <w:rsid w:val="00FC4424"/>
    <w:rsid w:val="00FC6556"/>
    <w:rsid w:val="00FD0035"/>
    <w:rsid w:val="00FE0978"/>
    <w:rsid w:val="00FE4AAC"/>
    <w:rsid w:val="00FF11D7"/>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FF1B7"/>
  <w15:docId w15:val="{C94F9C6E-C4C7-400D-A405-EE2B4866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244418282">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dm@mitre.org" TargetMode="External"/><Relationship Id="rId18" Type="http://schemas.openxmlformats.org/officeDocument/2006/relationships/hyperlink" Target="http://jira.oncprojectracking.org/browse/QDM-5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qdm@mitre.org" TargetMode="External"/><Relationship Id="rId7" Type="http://schemas.openxmlformats.org/officeDocument/2006/relationships/styles" Target="styles.xml"/><Relationship Id="rId12" Type="http://schemas.openxmlformats.org/officeDocument/2006/relationships/hyperlink" Target="https://www4.gotomeeting.com/register/375210199" TargetMode="External"/><Relationship Id="rId17" Type="http://schemas.openxmlformats.org/officeDocument/2006/relationships/hyperlink" Target="http://jira.oncprojectracking.org/browse/QDM-5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jira.oncprojectracking.org/browse/QDM-48" TargetMode="External"/><Relationship Id="rId20" Type="http://schemas.openxmlformats.org/officeDocument/2006/relationships/hyperlink" Target="http://jira.oncprojectracking.org/browse/QDM-6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qdm@mitre.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jira.oncprojectracking.org/browse/QDM-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ira.oncprojectracking.org/browse/QDM-16"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368CA"/>
    <w:rsid w:val="002504D8"/>
    <w:rsid w:val="002A07C7"/>
    <w:rsid w:val="002B6994"/>
    <w:rsid w:val="00352DA7"/>
    <w:rsid w:val="003C6DAA"/>
    <w:rsid w:val="003D5826"/>
    <w:rsid w:val="00411155"/>
    <w:rsid w:val="004232C6"/>
    <w:rsid w:val="00462445"/>
    <w:rsid w:val="0047314C"/>
    <w:rsid w:val="004A4720"/>
    <w:rsid w:val="004C4DB0"/>
    <w:rsid w:val="00516D68"/>
    <w:rsid w:val="005648B4"/>
    <w:rsid w:val="00576E4B"/>
    <w:rsid w:val="00593DCD"/>
    <w:rsid w:val="005B6F8E"/>
    <w:rsid w:val="006708B4"/>
    <w:rsid w:val="006B045E"/>
    <w:rsid w:val="006B3D86"/>
    <w:rsid w:val="006C7412"/>
    <w:rsid w:val="00741378"/>
    <w:rsid w:val="00763D76"/>
    <w:rsid w:val="007B4B2B"/>
    <w:rsid w:val="007E560D"/>
    <w:rsid w:val="0081019C"/>
    <w:rsid w:val="00827EED"/>
    <w:rsid w:val="00836C59"/>
    <w:rsid w:val="00892BE3"/>
    <w:rsid w:val="008B0B12"/>
    <w:rsid w:val="008F15F3"/>
    <w:rsid w:val="00923F32"/>
    <w:rsid w:val="00930081"/>
    <w:rsid w:val="0095645E"/>
    <w:rsid w:val="00961FA5"/>
    <w:rsid w:val="0097750E"/>
    <w:rsid w:val="009B2C24"/>
    <w:rsid w:val="00A531BF"/>
    <w:rsid w:val="00A9549D"/>
    <w:rsid w:val="00AC0088"/>
    <w:rsid w:val="00AF5D1B"/>
    <w:rsid w:val="00B06A20"/>
    <w:rsid w:val="00B16C7F"/>
    <w:rsid w:val="00B2273E"/>
    <w:rsid w:val="00B562DF"/>
    <w:rsid w:val="00BA0F01"/>
    <w:rsid w:val="00C111CB"/>
    <w:rsid w:val="00C32892"/>
    <w:rsid w:val="00C666D2"/>
    <w:rsid w:val="00CB4020"/>
    <w:rsid w:val="00D41B9F"/>
    <w:rsid w:val="00D56805"/>
    <w:rsid w:val="00D713B8"/>
    <w:rsid w:val="00D94899"/>
    <w:rsid w:val="00EC6A3C"/>
    <w:rsid w:val="00ED3A26"/>
    <w:rsid w:val="00F81F36"/>
    <w:rsid w:val="00F878E5"/>
    <w:rsid w:val="00F87F18"/>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ma:contentTypeID="0x010100A2CC769A6E264DDA82C1F9B9D6FADBF0001BA697926D5EC14FB24DCE9C88BE8727" ma:contentTypeVersion="1" ma:contentTypeDescription="Upload or create documents or materials that do not belong in another content type category" ma:contentTypeScope="" ma:versionID="8259c95c32f4a58a02977df7cf01cc76">
  <xsd:schema xmlns:xsd="http://www.w3.org/2001/XMLSchema" xmlns:xs="http://www.w3.org/2001/XMLSchema" xmlns:p="http://schemas.microsoft.com/office/2006/metadata/properties" xmlns:ns1="http://schemas.microsoft.com/sharepoint/v3" xmlns:ns2="13026b01-288b-4d27-afc0-7051f7eb8544" targetNamespace="http://schemas.microsoft.com/office/2006/metadata/properties" ma:root="true" ma:fieldsID="ae8ea3814459398253d3e93f2bc8e060" ns1:_="" ns2:_="">
    <xsd:import namespace="http://schemas.microsoft.com/sharepoint/v3"/>
    <xsd:import namespace="13026b01-288b-4d27-afc0-7051f7eb8544"/>
    <xsd:element name="properties">
      <xsd:complexType>
        <xsd:sequence>
          <xsd:element name="documentManagement">
            <xsd:complexType>
              <xsd:all>
                <xsd:element ref="ns1:MITRE_x0020_Sensitivity"/>
                <xsd:element ref="ns1:Release_x0020_Statement"/>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8"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9"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3026b01-288b-4d27-afc0-7051f7eb8544" elementFormDefault="qualified">
    <xsd:import namespace="http://schemas.microsoft.com/office/2006/documentManagement/types"/>
    <xsd:import namespace="http://schemas.microsoft.com/office/infopath/2007/PartnerControls"/>
    <xsd:element name="Status" ma:index="10" nillable="true" ma:displayName="Status" ma:default="In Progress" ma:format="Dropdown" ma:internalName="Status">
      <xsd:simpleType>
        <xsd:restriction base="dms:Choice">
          <xsd:enumeration value="In Progress"/>
          <xsd:enumeration value="Draft"/>
          <xsd:enumeration value="Deliverabl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Release_x0020_Statement xmlns="http://schemas.microsoft.com/sharepoint/v3">For Internal MITRE Use</Release_x0020_Statement>
    <Status xmlns="13026b01-288b-4d27-afc0-7051f7eb8544">In Progress</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BBC3-8DA8-40D9-AAB8-996899D4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026b01-288b-4d27-afc0-7051f7eb8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CAC88-15ED-44B5-BB8E-8DA2450737A4}">
  <ds:schemaRefs>
    <ds:schemaRef ds:uri="http://schemas.microsoft.com/office/2006/metadata/customXsn"/>
  </ds:schemaRefs>
</ds:datastoreItem>
</file>

<file path=customXml/itemProps3.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 ds:uri="http://schemas.microsoft.com/sharepoint/v3"/>
    <ds:schemaRef ds:uri="13026b01-288b-4d27-afc0-7051f7eb8544"/>
  </ds:schemaRefs>
</ds:datastoreItem>
</file>

<file path=customXml/itemProps4.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5.xml><?xml version="1.0" encoding="utf-8"?>
<ds:datastoreItem xmlns:ds="http://schemas.openxmlformats.org/officeDocument/2006/customXml" ds:itemID="{04F464DE-269D-4021-85AA-F1F18CE7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Stapleton, Dawn A</cp:lastModifiedBy>
  <cp:revision>2</cp:revision>
  <cp:lastPrinted>2013-07-30T14:52:00Z</cp:lastPrinted>
  <dcterms:created xsi:type="dcterms:W3CDTF">2014-06-23T18:16:00Z</dcterms:created>
  <dcterms:modified xsi:type="dcterms:W3CDTF">2014-06-23T18:16:00Z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0x010100A2CC769A6E264DDA82C1F9B9D6FADBF0001BA697926D5EC14FB24DCE9C88BE8727</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